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customXml/itemProps1.xml" ContentType="application/vnd.openxmlformats-officedocument.customXmlProperties+xml"/>
  <Override PartName="/docProps/app.xml" ContentType="application/vnd.openxmlformats-officedocument.extended-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40950A59" w:rsidR="00CF2104" w:rsidRDefault="00CB5E95">
      <w:pPr>
        <w:pBdr>
          <w:top w:val="nil"/>
          <w:left w:val="nil"/>
          <w:bottom w:val="nil"/>
          <w:right w:val="nil"/>
          <w:between w:val="nil"/>
        </w:pBdr>
        <w:tabs>
          <w:tab w:val="center" w:pos="4535"/>
          <w:tab w:val="left" w:pos="6108"/>
        </w:tabs>
        <w:spacing w:before="1540" w:after="240" w:line="240" w:lineRule="auto"/>
        <w:rPr>
          <w:rFonts w:ascii="Open Sans" w:eastAsia="Open Sans" w:hAnsi="Open Sans" w:cs="Open Sans"/>
          <w:smallCaps/>
          <w:color w:val="5B9BD5"/>
          <w:sz w:val="20"/>
          <w:szCs w:val="20"/>
        </w:rPr>
      </w:pPr>
      <w:r>
        <w:rPr>
          <w:rFonts w:ascii="Open Sans" w:eastAsia="Open Sans" w:hAnsi="Open Sans" w:cs="Open Sans"/>
          <w:color w:val="5B9BD5"/>
          <w:sz w:val="20"/>
          <w:szCs w:val="20"/>
        </w:rPr>
        <w:tab/>
      </w:r>
      <w:r>
        <w:rPr>
          <w:rFonts w:ascii="Open Sans" w:eastAsia="Open Sans" w:hAnsi="Open Sans" w:cs="Open Sans"/>
          <w:color w:val="5B9BD5"/>
          <w:sz w:val="20"/>
          <w:szCs w:val="20"/>
        </w:rPr>
        <w:tab/>
      </w:r>
      <w:r>
        <w:rPr>
          <w:noProof/>
          <w:lang w:val="hu-HU"/>
        </w:rPr>
        <w:drawing>
          <wp:anchor distT="0" distB="0" distL="114300" distR="114300" simplePos="0" relativeHeight="251658240" behindDoc="0" locked="0" layoutInCell="1" hidden="0" allowOverlap="1" wp14:anchorId="58212943" wp14:editId="0B38D4DF">
            <wp:simplePos x="0" y="0"/>
            <wp:positionH relativeFrom="column">
              <wp:posOffset>322580</wp:posOffset>
            </wp:positionH>
            <wp:positionV relativeFrom="paragraph">
              <wp:posOffset>7620</wp:posOffset>
            </wp:positionV>
            <wp:extent cx="2981960" cy="974725"/>
            <wp:effectExtent l="0" t="0" r="0" b="0"/>
            <wp:wrapSquare wrapText="bothSides" distT="0" distB="0" distL="114300" distR="114300"/>
            <wp:docPr id="933291792" name="image1.png" descr="A képen szöveg, képernyőkép, Betűtípus, Acélkék látható&#10;&#10;Automatikusan generált leírás"/>
            <wp:cNvGraphicFramePr/>
            <a:graphic xmlns:a="http://schemas.openxmlformats.org/drawingml/2006/main">
              <a:graphicData uri="http://schemas.openxmlformats.org/drawingml/2006/picture">
                <pic:pic xmlns:pic="http://schemas.openxmlformats.org/drawingml/2006/picture">
                  <pic:nvPicPr>
                    <pic:cNvPr id="0" name="image1.png" descr="A képen szöveg, képernyőkép, Betűtípus, Acélkék látható&#10;&#10;Automatikusan generált leírás"/>
                    <pic:cNvPicPr preferRelativeResize="0"/>
                  </pic:nvPicPr>
                  <pic:blipFill>
                    <a:blip r:embed="rId9"/>
                    <a:srcRect/>
                    <a:stretch>
                      <a:fillRect/>
                    </a:stretch>
                  </pic:blipFill>
                  <pic:spPr>
                    <a:xfrm>
                      <a:off x="0" y="0"/>
                      <a:ext cx="2981960" cy="974725"/>
                    </a:xfrm>
                    <a:prstGeom prst="rect">
                      <a:avLst/>
                    </a:prstGeom>
                    <a:ln/>
                  </pic:spPr>
                </pic:pic>
              </a:graphicData>
            </a:graphic>
          </wp:anchor>
        </w:drawing>
      </w:r>
    </w:p>
    <w:p w14:paraId="00000002" w14:textId="77777777" w:rsidR="00CF2104" w:rsidRDefault="00CF2104">
      <w:pPr>
        <w:pBdr>
          <w:top w:val="nil"/>
          <w:left w:val="nil"/>
          <w:bottom w:val="nil"/>
          <w:right w:val="nil"/>
          <w:between w:val="nil"/>
        </w:pBdr>
        <w:spacing w:after="0" w:line="240" w:lineRule="auto"/>
        <w:jc w:val="center"/>
        <w:rPr>
          <w:rFonts w:ascii="Open Sans" w:eastAsia="Open Sans" w:hAnsi="Open Sans" w:cs="Open Sans"/>
          <w:color w:val="5B9BD5"/>
          <w:sz w:val="20"/>
          <w:szCs w:val="20"/>
        </w:rPr>
      </w:pPr>
    </w:p>
    <w:p w14:paraId="00000003" w14:textId="30BABFD1" w:rsidR="00CF2104" w:rsidRDefault="001669A5">
      <w:pPr>
        <w:rPr>
          <w:rFonts w:ascii="Open Sans" w:eastAsia="Open Sans" w:hAnsi="Open Sans" w:cs="Open Sans"/>
          <w:b/>
          <w:color w:val="003399"/>
          <w:sz w:val="20"/>
          <w:szCs w:val="20"/>
        </w:rPr>
      </w:pPr>
      <w:r>
        <w:rPr>
          <w:noProof/>
          <w:lang w:val="hu-HU"/>
        </w:rPr>
        <mc:AlternateContent>
          <mc:Choice Requires="wps">
            <w:drawing>
              <wp:anchor distT="45720" distB="45720" distL="114300" distR="114300" simplePos="0" relativeHeight="251661312" behindDoc="0" locked="0" layoutInCell="1" hidden="0" allowOverlap="1" wp14:anchorId="7E40C1FE" wp14:editId="229B0FFA">
                <wp:simplePos x="0" y="0"/>
                <wp:positionH relativeFrom="column">
                  <wp:posOffset>77470</wp:posOffset>
                </wp:positionH>
                <wp:positionV relativeFrom="paragraph">
                  <wp:posOffset>5404485</wp:posOffset>
                </wp:positionV>
                <wp:extent cx="5761355" cy="1905635"/>
                <wp:effectExtent l="0" t="0" r="0" b="0"/>
                <wp:wrapSquare wrapText="bothSides" distT="45720" distB="45720" distL="114300" distR="114300"/>
                <wp:docPr id="933291788" name="Téglalap 933291788"/>
                <wp:cNvGraphicFramePr/>
                <a:graphic xmlns:a="http://schemas.openxmlformats.org/drawingml/2006/main">
                  <a:graphicData uri="http://schemas.microsoft.com/office/word/2010/wordprocessingShape">
                    <wps:wsp>
                      <wps:cNvSpPr/>
                      <wps:spPr>
                        <a:xfrm>
                          <a:off x="0" y="0"/>
                          <a:ext cx="5761355" cy="1905635"/>
                        </a:xfrm>
                        <a:prstGeom prst="rect">
                          <a:avLst/>
                        </a:prstGeom>
                        <a:noFill/>
                        <a:ln>
                          <a:noFill/>
                        </a:ln>
                      </wps:spPr>
                      <wps:txbx>
                        <w:txbxContent>
                          <w:p w14:paraId="48266BA4" w14:textId="48648FF6" w:rsidR="009571FD" w:rsidRDefault="009571FD">
                            <w:pPr>
                              <w:spacing w:after="0" w:line="480" w:lineRule="auto"/>
                              <w:textDirection w:val="btLr"/>
                              <w:rPr>
                                <w:rFonts w:ascii="Open Sans" w:eastAsia="Open Sans" w:hAnsi="Open Sans" w:cs="Open Sans"/>
                                <w:color w:val="003399"/>
                                <w:sz w:val="40"/>
                              </w:rPr>
                            </w:pPr>
                            <w:r>
                              <w:rPr>
                                <w:rFonts w:ascii="Open Sans" w:eastAsia="Open Sans" w:hAnsi="Open Sans" w:cs="Open Sans"/>
                                <w:color w:val="003399"/>
                                <w:sz w:val="40"/>
                              </w:rPr>
                              <w:t>Deliverable D.1.1.2</w:t>
                            </w:r>
                          </w:p>
                          <w:p w14:paraId="0AF13824" w14:textId="77777777" w:rsidR="009571FD" w:rsidRDefault="009571FD" w:rsidP="00A96F88">
                            <w:pPr>
                              <w:spacing w:after="0" w:line="240" w:lineRule="auto"/>
                              <w:textDirection w:val="btLr"/>
                              <w:rPr>
                                <w:rFonts w:ascii="Open Sans" w:eastAsia="Open Sans" w:hAnsi="Open Sans" w:cs="Open Sans"/>
                                <w:color w:val="003399"/>
                                <w:sz w:val="28"/>
                                <w:szCs w:val="28"/>
                              </w:rPr>
                            </w:pPr>
                            <w:r w:rsidRPr="00A96F88">
                              <w:rPr>
                                <w:rFonts w:ascii="Open Sans" w:eastAsia="Open Sans" w:hAnsi="Open Sans" w:cs="Open Sans"/>
                                <w:color w:val="003399"/>
                                <w:sz w:val="28"/>
                                <w:szCs w:val="28"/>
                              </w:rPr>
                              <w:t>Written by: Krisztina Davidovics, Gergely Varga, Viktória Szerencsés</w:t>
                            </w:r>
                          </w:p>
                          <w:p w14:paraId="54F3B73E" w14:textId="35DF2B40" w:rsidR="009571FD" w:rsidRDefault="009571FD" w:rsidP="00A96F88">
                            <w:pPr>
                              <w:spacing w:after="0" w:line="240" w:lineRule="auto"/>
                              <w:textDirection w:val="btLr"/>
                              <w:rPr>
                                <w:rFonts w:ascii="Open Sans" w:eastAsia="Open Sans" w:hAnsi="Open Sans" w:cs="Open Sans"/>
                                <w:color w:val="003399"/>
                                <w:sz w:val="26"/>
                                <w:szCs w:val="26"/>
                              </w:rPr>
                            </w:pPr>
                            <w:r w:rsidRPr="00A96F88">
                              <w:rPr>
                                <w:rFonts w:ascii="Open Sans" w:eastAsia="Open Sans" w:hAnsi="Open Sans" w:cs="Open Sans"/>
                                <w:color w:val="003399"/>
                                <w:sz w:val="26"/>
                                <w:szCs w:val="26"/>
                              </w:rPr>
                              <w:t xml:space="preserve">Semmelweis University Health Services Management Training Centre, Budapest </w:t>
                            </w:r>
                          </w:p>
                          <w:p w14:paraId="4D8B127C" w14:textId="50494DDE" w:rsidR="009571FD" w:rsidRDefault="009571FD" w:rsidP="00A96F88">
                            <w:pPr>
                              <w:spacing w:after="0" w:line="240" w:lineRule="auto"/>
                              <w:textDirection w:val="btLr"/>
                              <w:rPr>
                                <w:rFonts w:ascii="Open Sans" w:eastAsia="Open Sans" w:hAnsi="Open Sans" w:cs="Open Sans"/>
                                <w:color w:val="003399"/>
                                <w:sz w:val="26"/>
                                <w:szCs w:val="26"/>
                              </w:rPr>
                            </w:pPr>
                          </w:p>
                          <w:p w14:paraId="273D2DD1" w14:textId="48B8E912" w:rsidR="009571FD" w:rsidRDefault="009571FD" w:rsidP="00A96F88">
                            <w:pPr>
                              <w:spacing w:after="0" w:line="240" w:lineRule="auto"/>
                              <w:textDirection w:val="btLr"/>
                              <w:rPr>
                                <w:rFonts w:ascii="Open Sans" w:eastAsia="Open Sans" w:hAnsi="Open Sans" w:cs="Open Sans"/>
                                <w:color w:val="003399"/>
                                <w:sz w:val="26"/>
                                <w:szCs w:val="26"/>
                              </w:rPr>
                            </w:pPr>
                          </w:p>
                          <w:p w14:paraId="78D22503" w14:textId="3057B13F" w:rsidR="009571FD" w:rsidRPr="00A96F88" w:rsidRDefault="009571FD" w:rsidP="00A96F88">
                            <w:pPr>
                              <w:spacing w:after="0" w:line="240" w:lineRule="auto"/>
                              <w:textDirection w:val="btLr"/>
                              <w:rPr>
                                <w:rFonts w:ascii="Open Sans" w:eastAsia="Open Sans" w:hAnsi="Open Sans" w:cs="Open Sans"/>
                                <w:color w:val="003399"/>
                                <w:sz w:val="32"/>
                                <w:szCs w:val="32"/>
                              </w:rPr>
                            </w:pPr>
                            <w:r w:rsidRPr="00A96F88">
                              <w:rPr>
                                <w:rFonts w:ascii="Open Sans" w:eastAsia="Open Sans" w:hAnsi="Open Sans" w:cs="Open Sans"/>
                                <w:color w:val="003399"/>
                                <w:sz w:val="32"/>
                                <w:szCs w:val="32"/>
                              </w:rPr>
                              <w:t>2024</w:t>
                            </w:r>
                          </w:p>
                        </w:txbxContent>
                      </wps:txbx>
                      <wps:bodyPr spcFirstLastPara="1" wrap="square" lIns="0"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rect w14:anchorId="7E40C1FE" id="Téglalap 933291788" o:spid="_x0000_s1026" style="position:absolute;margin-left:6.1pt;margin-top:425.55pt;width:453.65pt;height:150.0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9rKsAEAAEsDAAAOAAAAZHJzL2Uyb0RvYy54bWysU8tu2zAQvBfoPxC815KcyGkEy0GRwEWB&#10;IDWQ5gNoirQISCSzS1vy32dJuXba3Ipe6H3Qw5nZ1fJu7Dt2UIDG2ZoXs5wzZaVrjN3V/OXX+stX&#10;zjAI24jOWVXzo0J+t/r8aTn4Ss1d67pGASMQi9Xga96G4KssQ9mqXuDMeWWpqR30IlAKu6wBMRB6&#10;32XzPF9kg4PGg5MKkaoPU5OvEr7WSoafWqMKrKs5cQvphHRu45mtlqLagfCtkSca4h9Y9MJYevQM&#10;9SCCYHswH6B6I8Gh02EmXZ85rY1USQOpKfK/1Dy3wqukhcxBf7YJ/x+sfDo8+w2QDYPHCimMKkYN&#10;ffwlfmxMZh3PZqkxMEnF8mZRXJUlZ5J6xW1eLq7KaGd2+bsHDN+V61kMag40jWSSODximK7+vhJf&#10;s25tui5NpLN/FAgzVrILxxiFcTueiG9dc9wAQy/Xht56FBg2AmiSBWcDTbfm+LoXoDjrfliyL65C&#10;Cq7Lm5wSSMltcT0nQdv3HWFl62hhAmdTeB/S+kz8vu2D0yZpiYwmGieiNLHkxmm74kq8z9Otyzew&#10;egMAAP//AwBQSwMEFAAGAAgAAAAhAPfr15PbAAAACwEAAA8AAABkcnMvZG93bnJldi54bWxMj0FO&#10;wzAQRfdI3MEaJHbUcaSgNI1TISoOQEB068ZDEojHJnbTcHuGFSy//tOfN/V+dZNYcI6jJw1qk4FA&#10;6rwdqdfw+vJ0V4KIyZA1kyfU8I0R9s31VW0q6y/0jEubesEjFCujYUgpVFLGbkBn4sYHJO7e/exM&#10;4jj30s7mwuNuknmW3UtnRuILgwn4OGD32Z6dhvbDHg8x4PJmw5c7tL48+rLT+vZmfdiBSLimPxh+&#10;9VkdGnY6+TPZKCbOec6khrJQCgQDW7UtQJy4UYXKQTa1/P9D8wMAAP//AwBQSwECLQAUAAYACAAA&#10;ACEAtoM4kv4AAADhAQAAEwAAAAAAAAAAAAAAAAAAAAAAW0NvbnRlbnRfVHlwZXNdLnhtbFBLAQIt&#10;ABQABgAIAAAAIQA4/SH/1gAAAJQBAAALAAAAAAAAAAAAAAAAAC8BAABfcmVscy8ucmVsc1BLAQIt&#10;ABQABgAIAAAAIQCgR9rKsAEAAEsDAAAOAAAAAAAAAAAAAAAAAC4CAABkcnMvZTJvRG9jLnhtbFBL&#10;AQItABQABgAIAAAAIQD369eT2wAAAAsBAAAPAAAAAAAAAAAAAAAAAAoEAABkcnMvZG93bnJldi54&#10;bWxQSwUGAAAAAAQABADzAAAAEgUAAAAA&#10;" filled="f" stroked="f">
                <v:textbox inset="0,1.2694mm,2.53958mm,1.2694mm">
                  <w:txbxContent>
                    <w:p w14:paraId="48266BA4" w14:textId="48648FF6" w:rsidR="009571FD" w:rsidRDefault="009571FD">
                      <w:pPr>
                        <w:spacing w:after="0" w:line="480" w:lineRule="auto"/>
                        <w:textDirection w:val="btLr"/>
                        <w:rPr>
                          <w:rFonts w:ascii="Open Sans" w:eastAsia="Open Sans" w:hAnsi="Open Sans" w:cs="Open Sans"/>
                          <w:color w:val="003399"/>
                          <w:sz w:val="40"/>
                        </w:rPr>
                      </w:pPr>
                      <w:r>
                        <w:rPr>
                          <w:rFonts w:ascii="Open Sans" w:eastAsia="Open Sans" w:hAnsi="Open Sans" w:cs="Open Sans"/>
                          <w:color w:val="003399"/>
                          <w:sz w:val="40"/>
                        </w:rPr>
                        <w:t>Deliverable D.1.1.2</w:t>
                      </w:r>
                    </w:p>
                    <w:p w14:paraId="0AF13824" w14:textId="77777777" w:rsidR="009571FD" w:rsidRDefault="009571FD" w:rsidP="00A96F88">
                      <w:pPr>
                        <w:spacing w:after="0" w:line="240" w:lineRule="auto"/>
                        <w:textDirection w:val="btLr"/>
                        <w:rPr>
                          <w:rFonts w:ascii="Open Sans" w:eastAsia="Open Sans" w:hAnsi="Open Sans" w:cs="Open Sans"/>
                          <w:color w:val="003399"/>
                          <w:sz w:val="28"/>
                          <w:szCs w:val="28"/>
                        </w:rPr>
                      </w:pPr>
                      <w:r w:rsidRPr="00A96F88">
                        <w:rPr>
                          <w:rFonts w:ascii="Open Sans" w:eastAsia="Open Sans" w:hAnsi="Open Sans" w:cs="Open Sans"/>
                          <w:color w:val="003399"/>
                          <w:sz w:val="28"/>
                          <w:szCs w:val="28"/>
                        </w:rPr>
                        <w:t>Written by: Krisztina Davidovics, Gergely Varga, Viktória Szerencsés</w:t>
                      </w:r>
                    </w:p>
                    <w:p w14:paraId="54F3B73E" w14:textId="35DF2B40" w:rsidR="009571FD" w:rsidRDefault="009571FD" w:rsidP="00A96F88">
                      <w:pPr>
                        <w:spacing w:after="0" w:line="240" w:lineRule="auto"/>
                        <w:textDirection w:val="btLr"/>
                        <w:rPr>
                          <w:rFonts w:ascii="Open Sans" w:eastAsia="Open Sans" w:hAnsi="Open Sans" w:cs="Open Sans"/>
                          <w:color w:val="003399"/>
                          <w:sz w:val="26"/>
                          <w:szCs w:val="26"/>
                        </w:rPr>
                      </w:pPr>
                      <w:r w:rsidRPr="00A96F88">
                        <w:rPr>
                          <w:rFonts w:ascii="Open Sans" w:eastAsia="Open Sans" w:hAnsi="Open Sans" w:cs="Open Sans"/>
                          <w:color w:val="003399"/>
                          <w:sz w:val="26"/>
                          <w:szCs w:val="26"/>
                        </w:rPr>
                        <w:t xml:space="preserve">Semmelweis University Health Services Management Training Centre, Budapest </w:t>
                      </w:r>
                    </w:p>
                    <w:p w14:paraId="4D8B127C" w14:textId="50494DDE" w:rsidR="009571FD" w:rsidRDefault="009571FD" w:rsidP="00A96F88">
                      <w:pPr>
                        <w:spacing w:after="0" w:line="240" w:lineRule="auto"/>
                        <w:textDirection w:val="btLr"/>
                        <w:rPr>
                          <w:rFonts w:ascii="Open Sans" w:eastAsia="Open Sans" w:hAnsi="Open Sans" w:cs="Open Sans"/>
                          <w:color w:val="003399"/>
                          <w:sz w:val="26"/>
                          <w:szCs w:val="26"/>
                        </w:rPr>
                      </w:pPr>
                    </w:p>
                    <w:p w14:paraId="273D2DD1" w14:textId="48B8E912" w:rsidR="009571FD" w:rsidRDefault="009571FD" w:rsidP="00A96F88">
                      <w:pPr>
                        <w:spacing w:after="0" w:line="240" w:lineRule="auto"/>
                        <w:textDirection w:val="btLr"/>
                        <w:rPr>
                          <w:rFonts w:ascii="Open Sans" w:eastAsia="Open Sans" w:hAnsi="Open Sans" w:cs="Open Sans"/>
                          <w:color w:val="003399"/>
                          <w:sz w:val="26"/>
                          <w:szCs w:val="26"/>
                        </w:rPr>
                      </w:pPr>
                    </w:p>
                    <w:p w14:paraId="78D22503" w14:textId="3057B13F" w:rsidR="009571FD" w:rsidRPr="00A96F88" w:rsidRDefault="009571FD" w:rsidP="00A96F88">
                      <w:pPr>
                        <w:spacing w:after="0" w:line="240" w:lineRule="auto"/>
                        <w:textDirection w:val="btLr"/>
                        <w:rPr>
                          <w:rFonts w:ascii="Open Sans" w:eastAsia="Open Sans" w:hAnsi="Open Sans" w:cs="Open Sans"/>
                          <w:color w:val="003399"/>
                          <w:sz w:val="32"/>
                          <w:szCs w:val="32"/>
                        </w:rPr>
                      </w:pPr>
                      <w:r w:rsidRPr="00A96F88">
                        <w:rPr>
                          <w:rFonts w:ascii="Open Sans" w:eastAsia="Open Sans" w:hAnsi="Open Sans" w:cs="Open Sans"/>
                          <w:color w:val="003399"/>
                          <w:sz w:val="32"/>
                          <w:szCs w:val="32"/>
                        </w:rPr>
                        <w:t>2024</w:t>
                      </w:r>
                    </w:p>
                  </w:txbxContent>
                </v:textbox>
                <w10:wrap type="square"/>
              </v:rect>
            </w:pict>
          </mc:Fallback>
        </mc:AlternateContent>
      </w:r>
      <w:r w:rsidR="00093F79">
        <w:rPr>
          <w:noProof/>
          <w:lang w:val="hu-HU"/>
        </w:rPr>
        <mc:AlternateContent>
          <mc:Choice Requires="wps">
            <w:drawing>
              <wp:anchor distT="45720" distB="45720" distL="114300" distR="114300" simplePos="0" relativeHeight="251660288" behindDoc="0" locked="0" layoutInCell="1" hidden="0" allowOverlap="1" wp14:anchorId="66DFF921" wp14:editId="1FB358A7">
                <wp:simplePos x="0" y="0"/>
                <wp:positionH relativeFrom="margin">
                  <wp:align>left</wp:align>
                </wp:positionH>
                <wp:positionV relativeFrom="paragraph">
                  <wp:posOffset>1259840</wp:posOffset>
                </wp:positionV>
                <wp:extent cx="5831205" cy="6153150"/>
                <wp:effectExtent l="0" t="0" r="0" b="0"/>
                <wp:wrapSquare wrapText="bothSides" distT="45720" distB="45720" distL="114300" distR="114300"/>
                <wp:docPr id="933291789" name="Téglalap 933291789"/>
                <wp:cNvGraphicFramePr/>
                <a:graphic xmlns:a="http://schemas.openxmlformats.org/drawingml/2006/main">
                  <a:graphicData uri="http://schemas.microsoft.com/office/word/2010/wordprocessingShape">
                    <wps:wsp>
                      <wps:cNvSpPr/>
                      <wps:spPr>
                        <a:xfrm>
                          <a:off x="0" y="0"/>
                          <a:ext cx="5831205" cy="6153150"/>
                        </a:xfrm>
                        <a:prstGeom prst="rect">
                          <a:avLst/>
                        </a:prstGeom>
                        <a:noFill/>
                        <a:ln>
                          <a:noFill/>
                        </a:ln>
                      </wps:spPr>
                      <wps:txbx>
                        <w:txbxContent>
                          <w:p w14:paraId="6F3BF734" w14:textId="77777777" w:rsidR="009571FD" w:rsidRDefault="009571FD" w:rsidP="002D2970">
                            <w:pPr>
                              <w:spacing w:after="0" w:line="240" w:lineRule="auto"/>
                              <w:jc w:val="center"/>
                              <w:textDirection w:val="btLr"/>
                            </w:pPr>
                            <w:r>
                              <w:rPr>
                                <w:rFonts w:ascii="Open Sans" w:eastAsia="Open Sans" w:hAnsi="Open Sans" w:cs="Open Sans"/>
                                <w:b/>
                                <w:color w:val="003399"/>
                                <w:sz w:val="88"/>
                              </w:rPr>
                              <w:t>Joint Thematic and Methodological Frames</w:t>
                            </w:r>
                          </w:p>
                          <w:p w14:paraId="6A877216" w14:textId="77777777" w:rsidR="009571FD" w:rsidRPr="002D2970" w:rsidRDefault="009571FD">
                            <w:pPr>
                              <w:spacing w:after="0" w:line="1200" w:lineRule="auto"/>
                              <w:jc w:val="center"/>
                              <w:textDirection w:val="btLr"/>
                              <w:rPr>
                                <w:i/>
                                <w:iCs/>
                              </w:rPr>
                            </w:pPr>
                            <w:r w:rsidRPr="002D2970">
                              <w:rPr>
                                <w:rFonts w:ascii="Open Sans" w:eastAsia="Open Sans" w:hAnsi="Open Sans" w:cs="Open Sans"/>
                                <w:b/>
                                <w:i/>
                                <w:iCs/>
                                <w:color w:val="003399"/>
                                <w:sz w:val="64"/>
                              </w:rPr>
                              <w:t>Accompanying document</w:t>
                            </w:r>
                          </w:p>
                        </w:txbxContent>
                      </wps:txbx>
                      <wps:bodyPr spcFirstLastPara="1" wrap="square" lIns="0"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rect w14:anchorId="66DFF921" id="Téglalap 933291789" o:spid="_x0000_s1027" style="position:absolute;margin-left:0;margin-top:99.2pt;width:459.15pt;height:484.5pt;z-index:2516602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nNXswEAAFIDAAAOAAAAZHJzL2Uyb0RvYy54bWysU9tu2zAMfR/QfxD0vthO664z4hRDiwwF&#10;ii1Atw9QZCkWYF1GKrHz96WUNOm2t2EvCm8hzzmkF/eTHdheARrvWl7NSs6Uk74zbtvynz9WH+84&#10;wyhcJwbvVMsPCvn98urDYgyNmvveD50CRk0cNmNoeR9jaIoCZa+swJkPylFSe7AikgvbogMxUnc7&#10;FPOyvC1GD10ALxUiRR+PSb7M/bVWMn7XGlVkQ8sJW8wv5HeT3mK5EM0WROiNPMEQ/4DCCuNo6LnV&#10;o4iC7cD81coaCR69jjPpbeG1NlJlDsSmKv9g89KLoDIXEgfDWSb8f23lt/1LWAPJMAZskMzEYtJg&#10;0y/hY1MW63AWS02RSQrWd9fVvKw5k5S7rerrqs5yFpe/B8D4VXnLktFyoG1kkcT+GSONpNK3kjTN&#10;+ZUZhryRwf0WoMIUKS4YkxWnzcRMR2eX1pgiG98d1sAwyJWhkc8C41oALbTibKQltxx/7QQozoYn&#10;Ryqmi8jGTf2pJAey87m6mROvzfuMcLL3dDeRs6P5EPMVHWF+2UWvTaZ0gXHCS4vLTE9Hli7jvZ+r&#10;Lp/C8hUAAP//AwBQSwMEFAAGAAgAAAAhAPxbLgXbAAAACQEAAA8AAABkcnMvZG93bnJldi54bWxM&#10;j8FOwzAQRO9I/IO1SNyoE6iKm8apEBUfQED06sZLkhKvTeym4e9ZTvS4M6PZN+V2doOYcIy9Jw35&#10;IgOB1HjbU6vh/e3lToGIyZA1gyfU8IMRttX1VWkK68/0ilOdWsElFAujoUspFFLGpkNn4sIHJPY+&#10;/ehM4nNspR3NmcvdIO+zbCWd6Yk/dCbgc4fNV31yGuqj3e9iwOnDhm+3q73ae9VofXszP21AJJzT&#10;fxj+8BkdKmY6+BPZKAYNPCSxulZLEGyvc/UA4sBKvnpcgqxKebmg+gUAAP//AwBQSwECLQAUAAYA&#10;CAAAACEAtoM4kv4AAADhAQAAEwAAAAAAAAAAAAAAAAAAAAAAW0NvbnRlbnRfVHlwZXNdLnhtbFBL&#10;AQItABQABgAIAAAAIQA4/SH/1gAAAJQBAAALAAAAAAAAAAAAAAAAAC8BAABfcmVscy8ucmVsc1BL&#10;AQItABQABgAIAAAAIQBDPnNXswEAAFIDAAAOAAAAAAAAAAAAAAAAAC4CAABkcnMvZTJvRG9jLnht&#10;bFBLAQItABQABgAIAAAAIQD8Wy4F2wAAAAkBAAAPAAAAAAAAAAAAAAAAAA0EAABkcnMvZG93bnJl&#10;di54bWxQSwUGAAAAAAQABADzAAAAFQUAAAAA&#10;" filled="f" stroked="f">
                <v:textbox inset="0,1.2694mm,2.53958mm,1.2694mm">
                  <w:txbxContent>
                    <w:p w14:paraId="6F3BF734" w14:textId="77777777" w:rsidR="009571FD" w:rsidRDefault="009571FD" w:rsidP="002D2970">
                      <w:pPr>
                        <w:spacing w:after="0" w:line="240" w:lineRule="auto"/>
                        <w:jc w:val="center"/>
                        <w:textDirection w:val="btLr"/>
                      </w:pPr>
                      <w:r>
                        <w:rPr>
                          <w:rFonts w:ascii="Open Sans" w:eastAsia="Open Sans" w:hAnsi="Open Sans" w:cs="Open Sans"/>
                          <w:b/>
                          <w:color w:val="003399"/>
                          <w:sz w:val="88"/>
                        </w:rPr>
                        <w:t>Joint Thematic and Methodological Frames</w:t>
                      </w:r>
                    </w:p>
                    <w:p w14:paraId="6A877216" w14:textId="77777777" w:rsidR="009571FD" w:rsidRPr="002D2970" w:rsidRDefault="009571FD">
                      <w:pPr>
                        <w:spacing w:after="0" w:line="1200" w:lineRule="auto"/>
                        <w:jc w:val="center"/>
                        <w:textDirection w:val="btLr"/>
                        <w:rPr>
                          <w:i/>
                          <w:iCs/>
                        </w:rPr>
                      </w:pPr>
                      <w:r w:rsidRPr="002D2970">
                        <w:rPr>
                          <w:rFonts w:ascii="Open Sans" w:eastAsia="Open Sans" w:hAnsi="Open Sans" w:cs="Open Sans"/>
                          <w:b/>
                          <w:i/>
                          <w:iCs/>
                          <w:color w:val="003399"/>
                          <w:sz w:val="64"/>
                        </w:rPr>
                        <w:t>Accompanying document</w:t>
                      </w:r>
                    </w:p>
                  </w:txbxContent>
                </v:textbox>
                <w10:wrap type="square" anchorx="margin"/>
              </v:rect>
            </w:pict>
          </mc:Fallback>
        </mc:AlternateContent>
      </w:r>
      <w:r w:rsidR="00CB5E95">
        <w:br w:type="page"/>
      </w:r>
      <w:r>
        <w:rPr>
          <w:noProof/>
          <w:lang w:val="hu-HU"/>
        </w:rPr>
        <w:drawing>
          <wp:anchor distT="0" distB="0" distL="0" distR="0" simplePos="0" relativeHeight="251659264" behindDoc="1" locked="0" layoutInCell="1" hidden="0" allowOverlap="1" wp14:anchorId="1E4B2736" wp14:editId="0972E2CF">
            <wp:simplePos x="0" y="0"/>
            <wp:positionH relativeFrom="column">
              <wp:posOffset>-899794</wp:posOffset>
            </wp:positionH>
            <wp:positionV relativeFrom="paragraph">
              <wp:posOffset>750224</wp:posOffset>
            </wp:positionV>
            <wp:extent cx="7560000" cy="7564167"/>
            <wp:effectExtent l="0" t="0" r="0" b="0"/>
            <wp:wrapNone/>
            <wp:docPr id="933291793" name="image3.png" descr="A képen hegy látható&#10;&#10;Automatikusan generált leírás"/>
            <wp:cNvGraphicFramePr/>
            <a:graphic xmlns:a="http://schemas.openxmlformats.org/drawingml/2006/main">
              <a:graphicData uri="http://schemas.openxmlformats.org/drawingml/2006/picture">
                <pic:pic xmlns:pic="http://schemas.openxmlformats.org/drawingml/2006/picture">
                  <pic:nvPicPr>
                    <pic:cNvPr id="0" name="image3.png" descr="A képen hegy látható&#10;&#10;Automatikusan generált leírás"/>
                    <pic:cNvPicPr preferRelativeResize="0"/>
                  </pic:nvPicPr>
                  <pic:blipFill>
                    <a:blip r:embed="rId10"/>
                    <a:srcRect/>
                    <a:stretch>
                      <a:fillRect/>
                    </a:stretch>
                  </pic:blipFill>
                  <pic:spPr>
                    <a:xfrm>
                      <a:off x="0" y="0"/>
                      <a:ext cx="7560000" cy="7564167"/>
                    </a:xfrm>
                    <a:prstGeom prst="rect">
                      <a:avLst/>
                    </a:prstGeom>
                    <a:ln/>
                  </pic:spPr>
                </pic:pic>
              </a:graphicData>
            </a:graphic>
            <wp14:sizeRelV relativeFrom="margin">
              <wp14:pctHeight>0</wp14:pctHeight>
            </wp14:sizeRelV>
          </wp:anchor>
        </w:drawing>
      </w:r>
    </w:p>
    <w:p w14:paraId="00000004" w14:textId="77777777" w:rsidR="00CF2104" w:rsidRDefault="00CF2104">
      <w:pPr>
        <w:pStyle w:val="Cm"/>
        <w:jc w:val="center"/>
      </w:pPr>
    </w:p>
    <w:sdt>
      <w:sdtPr>
        <w:rPr>
          <w:rFonts w:ascii="Aptos" w:eastAsia="Aptos" w:hAnsi="Aptos" w:cs="Aptos"/>
          <w:color w:val="auto"/>
          <w:sz w:val="24"/>
          <w:szCs w:val="24"/>
          <w:lang w:val="hu-HU"/>
        </w:rPr>
        <w:id w:val="-1950382796"/>
        <w:docPartObj>
          <w:docPartGallery w:val="Table of Contents"/>
          <w:docPartUnique/>
        </w:docPartObj>
      </w:sdtPr>
      <w:sdtEndPr>
        <w:rPr>
          <w:b/>
          <w:bCs/>
          <w:lang w:val="en-GB"/>
        </w:rPr>
      </w:sdtEndPr>
      <w:sdtContent>
        <w:p w14:paraId="5DEF7773" w14:textId="030AD562" w:rsidR="003E55CB" w:rsidRDefault="003E55CB">
          <w:pPr>
            <w:pStyle w:val="Tartalomjegyzkcmsora"/>
          </w:pPr>
          <w:r>
            <w:rPr>
              <w:lang w:val="hu-HU"/>
            </w:rPr>
            <w:t>Contents</w:t>
          </w:r>
        </w:p>
        <w:p w14:paraId="0E374AA4" w14:textId="2087E34B" w:rsidR="006B0A4D" w:rsidRDefault="003E55CB">
          <w:pPr>
            <w:pStyle w:val="TJ1"/>
            <w:tabs>
              <w:tab w:val="left" w:pos="480"/>
              <w:tab w:val="right" w:leader="dot" w:pos="9062"/>
            </w:tabs>
            <w:rPr>
              <w:rFonts w:asciiTheme="minorHAnsi" w:eastAsiaTheme="minorEastAsia" w:hAnsiTheme="minorHAnsi" w:cstheme="minorBidi"/>
              <w:noProof/>
              <w:sz w:val="22"/>
              <w:szCs w:val="22"/>
              <w:lang w:val="hu-HU"/>
            </w:rPr>
          </w:pPr>
          <w:r>
            <w:fldChar w:fldCharType="begin"/>
          </w:r>
          <w:r>
            <w:instrText xml:space="preserve"> TOC \o "1-3" \h \z \u </w:instrText>
          </w:r>
          <w:r>
            <w:fldChar w:fldCharType="separate"/>
          </w:r>
          <w:hyperlink w:anchor="_Toc167702761" w:history="1">
            <w:r w:rsidR="006B0A4D" w:rsidRPr="003E7299">
              <w:rPr>
                <w:rStyle w:val="Hiperhivatkozs"/>
                <w:noProof/>
              </w:rPr>
              <w:t>1.</w:t>
            </w:r>
            <w:r w:rsidR="006B0A4D">
              <w:rPr>
                <w:rFonts w:asciiTheme="minorHAnsi" w:eastAsiaTheme="minorEastAsia" w:hAnsiTheme="minorHAnsi" w:cstheme="minorBidi"/>
                <w:noProof/>
                <w:sz w:val="22"/>
                <w:szCs w:val="22"/>
                <w:lang w:val="hu-HU"/>
              </w:rPr>
              <w:tab/>
            </w:r>
            <w:r w:rsidR="006B0A4D" w:rsidRPr="003E7299">
              <w:rPr>
                <w:rStyle w:val="Hiperhivatkozs"/>
                <w:noProof/>
              </w:rPr>
              <w:t>Rationale and Aim of Deliverable 1.1.2</w:t>
            </w:r>
            <w:r w:rsidR="006B0A4D">
              <w:rPr>
                <w:noProof/>
                <w:webHidden/>
              </w:rPr>
              <w:tab/>
            </w:r>
            <w:r w:rsidR="006B0A4D">
              <w:rPr>
                <w:noProof/>
                <w:webHidden/>
              </w:rPr>
              <w:fldChar w:fldCharType="begin"/>
            </w:r>
            <w:r w:rsidR="006B0A4D">
              <w:rPr>
                <w:noProof/>
                <w:webHidden/>
              </w:rPr>
              <w:instrText xml:space="preserve"> PAGEREF _Toc167702761 \h </w:instrText>
            </w:r>
            <w:r w:rsidR="006B0A4D">
              <w:rPr>
                <w:noProof/>
                <w:webHidden/>
              </w:rPr>
            </w:r>
            <w:r w:rsidR="006B0A4D">
              <w:rPr>
                <w:noProof/>
                <w:webHidden/>
              </w:rPr>
              <w:fldChar w:fldCharType="separate"/>
            </w:r>
            <w:r w:rsidR="006B0A4D">
              <w:rPr>
                <w:noProof/>
                <w:webHidden/>
              </w:rPr>
              <w:t>4</w:t>
            </w:r>
            <w:r w:rsidR="006B0A4D">
              <w:rPr>
                <w:noProof/>
                <w:webHidden/>
              </w:rPr>
              <w:fldChar w:fldCharType="end"/>
            </w:r>
          </w:hyperlink>
        </w:p>
        <w:p w14:paraId="7A37308B" w14:textId="2AB64796" w:rsidR="006B0A4D" w:rsidRDefault="007C1C74">
          <w:pPr>
            <w:pStyle w:val="TJ2"/>
            <w:tabs>
              <w:tab w:val="right" w:leader="dot" w:pos="9062"/>
            </w:tabs>
            <w:rPr>
              <w:rFonts w:asciiTheme="minorHAnsi" w:eastAsiaTheme="minorEastAsia" w:hAnsiTheme="minorHAnsi" w:cstheme="minorBidi"/>
              <w:noProof/>
              <w:sz w:val="22"/>
              <w:szCs w:val="22"/>
              <w:lang w:val="hu-HU"/>
            </w:rPr>
          </w:pPr>
          <w:hyperlink w:anchor="_Toc167702762" w:history="1">
            <w:r w:rsidR="006B0A4D" w:rsidRPr="003E7299">
              <w:rPr>
                <w:rStyle w:val="Hiperhivatkozs"/>
                <w:noProof/>
              </w:rPr>
              <w:t>1.1 Objectives and Organisational Context of the Project</w:t>
            </w:r>
            <w:r w:rsidR="006B0A4D">
              <w:rPr>
                <w:noProof/>
                <w:webHidden/>
              </w:rPr>
              <w:tab/>
            </w:r>
            <w:r w:rsidR="006B0A4D">
              <w:rPr>
                <w:noProof/>
                <w:webHidden/>
              </w:rPr>
              <w:fldChar w:fldCharType="begin"/>
            </w:r>
            <w:r w:rsidR="006B0A4D">
              <w:rPr>
                <w:noProof/>
                <w:webHidden/>
              </w:rPr>
              <w:instrText xml:space="preserve"> PAGEREF _Toc167702762 \h </w:instrText>
            </w:r>
            <w:r w:rsidR="006B0A4D">
              <w:rPr>
                <w:noProof/>
                <w:webHidden/>
              </w:rPr>
            </w:r>
            <w:r w:rsidR="006B0A4D">
              <w:rPr>
                <w:noProof/>
                <w:webHidden/>
              </w:rPr>
              <w:fldChar w:fldCharType="separate"/>
            </w:r>
            <w:r w:rsidR="006B0A4D">
              <w:rPr>
                <w:noProof/>
                <w:webHidden/>
              </w:rPr>
              <w:t>4</w:t>
            </w:r>
            <w:r w:rsidR="006B0A4D">
              <w:rPr>
                <w:noProof/>
                <w:webHidden/>
              </w:rPr>
              <w:fldChar w:fldCharType="end"/>
            </w:r>
          </w:hyperlink>
        </w:p>
        <w:p w14:paraId="324E42D4" w14:textId="705F1559" w:rsidR="006B0A4D" w:rsidRDefault="007C1C74">
          <w:pPr>
            <w:pStyle w:val="TJ2"/>
            <w:tabs>
              <w:tab w:val="right" w:leader="dot" w:pos="9062"/>
            </w:tabs>
            <w:rPr>
              <w:rFonts w:asciiTheme="minorHAnsi" w:eastAsiaTheme="minorEastAsia" w:hAnsiTheme="minorHAnsi" w:cstheme="minorBidi"/>
              <w:noProof/>
              <w:sz w:val="22"/>
              <w:szCs w:val="22"/>
              <w:lang w:val="hu-HU"/>
            </w:rPr>
          </w:pPr>
          <w:hyperlink w:anchor="_Toc167702763" w:history="1">
            <w:r w:rsidR="006B0A4D" w:rsidRPr="003E7299">
              <w:rPr>
                <w:rStyle w:val="Hiperhivatkozs"/>
                <w:noProof/>
              </w:rPr>
              <w:t>1.2 The Place of Deliverable 1.1.2 in the Organisational Structure of Digi4Care</w:t>
            </w:r>
            <w:r w:rsidR="006B0A4D">
              <w:rPr>
                <w:noProof/>
                <w:webHidden/>
              </w:rPr>
              <w:tab/>
            </w:r>
            <w:r w:rsidR="006B0A4D">
              <w:rPr>
                <w:noProof/>
                <w:webHidden/>
              </w:rPr>
              <w:fldChar w:fldCharType="begin"/>
            </w:r>
            <w:r w:rsidR="006B0A4D">
              <w:rPr>
                <w:noProof/>
                <w:webHidden/>
              </w:rPr>
              <w:instrText xml:space="preserve"> PAGEREF _Toc167702763 \h </w:instrText>
            </w:r>
            <w:r w:rsidR="006B0A4D">
              <w:rPr>
                <w:noProof/>
                <w:webHidden/>
              </w:rPr>
            </w:r>
            <w:r w:rsidR="006B0A4D">
              <w:rPr>
                <w:noProof/>
                <w:webHidden/>
              </w:rPr>
              <w:fldChar w:fldCharType="separate"/>
            </w:r>
            <w:r w:rsidR="006B0A4D">
              <w:rPr>
                <w:noProof/>
                <w:webHidden/>
              </w:rPr>
              <w:t>4</w:t>
            </w:r>
            <w:r w:rsidR="006B0A4D">
              <w:rPr>
                <w:noProof/>
                <w:webHidden/>
              </w:rPr>
              <w:fldChar w:fldCharType="end"/>
            </w:r>
          </w:hyperlink>
        </w:p>
        <w:p w14:paraId="7F667C14" w14:textId="71067387" w:rsidR="006B0A4D" w:rsidRDefault="007C1C74">
          <w:pPr>
            <w:pStyle w:val="TJ1"/>
            <w:tabs>
              <w:tab w:val="left" w:pos="480"/>
              <w:tab w:val="right" w:leader="dot" w:pos="9062"/>
            </w:tabs>
            <w:rPr>
              <w:rFonts w:asciiTheme="minorHAnsi" w:eastAsiaTheme="minorEastAsia" w:hAnsiTheme="minorHAnsi" w:cstheme="minorBidi"/>
              <w:noProof/>
              <w:sz w:val="22"/>
              <w:szCs w:val="22"/>
              <w:lang w:val="hu-HU"/>
            </w:rPr>
          </w:pPr>
          <w:hyperlink w:anchor="_Toc167702764" w:history="1">
            <w:r w:rsidR="006B0A4D" w:rsidRPr="003E7299">
              <w:rPr>
                <w:rStyle w:val="Hiperhivatkozs"/>
                <w:noProof/>
              </w:rPr>
              <w:t>2.</w:t>
            </w:r>
            <w:r w:rsidR="006B0A4D">
              <w:rPr>
                <w:rFonts w:asciiTheme="minorHAnsi" w:eastAsiaTheme="minorEastAsia" w:hAnsiTheme="minorHAnsi" w:cstheme="minorBidi"/>
                <w:noProof/>
                <w:sz w:val="22"/>
                <w:szCs w:val="22"/>
                <w:lang w:val="hu-HU"/>
              </w:rPr>
              <w:tab/>
            </w:r>
            <w:r w:rsidR="006B0A4D" w:rsidRPr="003E7299">
              <w:rPr>
                <w:rStyle w:val="Hiperhivatkozs"/>
                <w:noProof/>
              </w:rPr>
              <w:t>Presentation of the sources of the questionnaire</w:t>
            </w:r>
            <w:r w:rsidR="006B0A4D">
              <w:rPr>
                <w:noProof/>
                <w:webHidden/>
              </w:rPr>
              <w:tab/>
            </w:r>
            <w:r w:rsidR="006B0A4D">
              <w:rPr>
                <w:noProof/>
                <w:webHidden/>
              </w:rPr>
              <w:fldChar w:fldCharType="begin"/>
            </w:r>
            <w:r w:rsidR="006B0A4D">
              <w:rPr>
                <w:noProof/>
                <w:webHidden/>
              </w:rPr>
              <w:instrText xml:space="preserve"> PAGEREF _Toc167702764 \h </w:instrText>
            </w:r>
            <w:r w:rsidR="006B0A4D">
              <w:rPr>
                <w:noProof/>
                <w:webHidden/>
              </w:rPr>
            </w:r>
            <w:r w:rsidR="006B0A4D">
              <w:rPr>
                <w:noProof/>
                <w:webHidden/>
              </w:rPr>
              <w:fldChar w:fldCharType="separate"/>
            </w:r>
            <w:r w:rsidR="006B0A4D">
              <w:rPr>
                <w:noProof/>
                <w:webHidden/>
              </w:rPr>
              <w:t>6</w:t>
            </w:r>
            <w:r w:rsidR="006B0A4D">
              <w:rPr>
                <w:noProof/>
                <w:webHidden/>
              </w:rPr>
              <w:fldChar w:fldCharType="end"/>
            </w:r>
          </w:hyperlink>
        </w:p>
        <w:p w14:paraId="19B30CE5" w14:textId="058F0DBB" w:rsidR="006B0A4D" w:rsidRDefault="007C1C74">
          <w:pPr>
            <w:pStyle w:val="TJ1"/>
            <w:tabs>
              <w:tab w:val="left" w:pos="480"/>
              <w:tab w:val="right" w:leader="dot" w:pos="9062"/>
            </w:tabs>
            <w:rPr>
              <w:rFonts w:asciiTheme="minorHAnsi" w:eastAsiaTheme="minorEastAsia" w:hAnsiTheme="minorHAnsi" w:cstheme="minorBidi"/>
              <w:noProof/>
              <w:sz w:val="22"/>
              <w:szCs w:val="22"/>
              <w:lang w:val="hu-HU"/>
            </w:rPr>
          </w:pPr>
          <w:hyperlink w:anchor="_Toc167702765" w:history="1">
            <w:r w:rsidR="006B0A4D" w:rsidRPr="003E7299">
              <w:rPr>
                <w:rStyle w:val="Hiperhivatkozs"/>
                <w:noProof/>
              </w:rPr>
              <w:t>3.</w:t>
            </w:r>
            <w:r w:rsidR="006B0A4D">
              <w:rPr>
                <w:rFonts w:asciiTheme="minorHAnsi" w:eastAsiaTheme="minorEastAsia" w:hAnsiTheme="minorHAnsi" w:cstheme="minorBidi"/>
                <w:noProof/>
                <w:sz w:val="22"/>
                <w:szCs w:val="22"/>
                <w:lang w:val="hu-HU"/>
              </w:rPr>
              <w:tab/>
            </w:r>
            <w:r w:rsidR="006B0A4D" w:rsidRPr="003E7299">
              <w:rPr>
                <w:rStyle w:val="Hiperhivatkozs"/>
                <w:noProof/>
              </w:rPr>
              <w:t>Structure of the questionnaire and suggestions on how to complete it</w:t>
            </w:r>
            <w:r w:rsidR="006B0A4D">
              <w:rPr>
                <w:noProof/>
                <w:webHidden/>
              </w:rPr>
              <w:tab/>
            </w:r>
            <w:r w:rsidR="006B0A4D">
              <w:rPr>
                <w:noProof/>
                <w:webHidden/>
              </w:rPr>
              <w:fldChar w:fldCharType="begin"/>
            </w:r>
            <w:r w:rsidR="006B0A4D">
              <w:rPr>
                <w:noProof/>
                <w:webHidden/>
              </w:rPr>
              <w:instrText xml:space="preserve"> PAGEREF _Toc167702765 \h </w:instrText>
            </w:r>
            <w:r w:rsidR="006B0A4D">
              <w:rPr>
                <w:noProof/>
                <w:webHidden/>
              </w:rPr>
            </w:r>
            <w:r w:rsidR="006B0A4D">
              <w:rPr>
                <w:noProof/>
                <w:webHidden/>
              </w:rPr>
              <w:fldChar w:fldCharType="separate"/>
            </w:r>
            <w:r w:rsidR="006B0A4D">
              <w:rPr>
                <w:noProof/>
                <w:webHidden/>
              </w:rPr>
              <w:t>8</w:t>
            </w:r>
            <w:r w:rsidR="006B0A4D">
              <w:rPr>
                <w:noProof/>
                <w:webHidden/>
              </w:rPr>
              <w:fldChar w:fldCharType="end"/>
            </w:r>
          </w:hyperlink>
        </w:p>
        <w:p w14:paraId="050269F6" w14:textId="65D8A8E3" w:rsidR="006B0A4D" w:rsidRDefault="007C1C74">
          <w:pPr>
            <w:pStyle w:val="TJ2"/>
            <w:tabs>
              <w:tab w:val="left" w:pos="880"/>
              <w:tab w:val="right" w:leader="dot" w:pos="9062"/>
            </w:tabs>
            <w:rPr>
              <w:rFonts w:asciiTheme="minorHAnsi" w:eastAsiaTheme="minorEastAsia" w:hAnsiTheme="minorHAnsi" w:cstheme="minorBidi"/>
              <w:noProof/>
              <w:sz w:val="22"/>
              <w:szCs w:val="22"/>
              <w:lang w:val="hu-HU"/>
            </w:rPr>
          </w:pPr>
          <w:hyperlink w:anchor="_Toc167702766" w:history="1">
            <w:r w:rsidR="006B0A4D" w:rsidRPr="003E7299">
              <w:rPr>
                <w:rStyle w:val="Hiperhivatkozs"/>
                <w:noProof/>
              </w:rPr>
              <w:t>3.1</w:t>
            </w:r>
            <w:r w:rsidR="006B0A4D">
              <w:rPr>
                <w:rFonts w:asciiTheme="minorHAnsi" w:eastAsiaTheme="minorEastAsia" w:hAnsiTheme="minorHAnsi" w:cstheme="minorBidi"/>
                <w:noProof/>
                <w:sz w:val="22"/>
                <w:szCs w:val="22"/>
                <w:lang w:val="hu-HU"/>
              </w:rPr>
              <w:tab/>
            </w:r>
            <w:r w:rsidR="006B0A4D" w:rsidRPr="003E7299">
              <w:rPr>
                <w:rStyle w:val="Hiperhivatkozs"/>
                <w:noProof/>
              </w:rPr>
              <w:t>Description of the Country/Regional Context</w:t>
            </w:r>
            <w:r w:rsidR="006B0A4D">
              <w:rPr>
                <w:noProof/>
                <w:webHidden/>
              </w:rPr>
              <w:tab/>
            </w:r>
            <w:r w:rsidR="006B0A4D">
              <w:rPr>
                <w:noProof/>
                <w:webHidden/>
              </w:rPr>
              <w:fldChar w:fldCharType="begin"/>
            </w:r>
            <w:r w:rsidR="006B0A4D">
              <w:rPr>
                <w:noProof/>
                <w:webHidden/>
              </w:rPr>
              <w:instrText xml:space="preserve"> PAGEREF _Toc167702766 \h </w:instrText>
            </w:r>
            <w:r w:rsidR="006B0A4D">
              <w:rPr>
                <w:noProof/>
                <w:webHidden/>
              </w:rPr>
            </w:r>
            <w:r w:rsidR="006B0A4D">
              <w:rPr>
                <w:noProof/>
                <w:webHidden/>
              </w:rPr>
              <w:fldChar w:fldCharType="separate"/>
            </w:r>
            <w:r w:rsidR="006B0A4D">
              <w:rPr>
                <w:noProof/>
                <w:webHidden/>
              </w:rPr>
              <w:t>8</w:t>
            </w:r>
            <w:r w:rsidR="006B0A4D">
              <w:rPr>
                <w:noProof/>
                <w:webHidden/>
              </w:rPr>
              <w:fldChar w:fldCharType="end"/>
            </w:r>
          </w:hyperlink>
        </w:p>
        <w:p w14:paraId="48A7C1C2" w14:textId="670AEBB7" w:rsidR="006B0A4D" w:rsidRDefault="007C1C74">
          <w:pPr>
            <w:pStyle w:val="TJ2"/>
            <w:tabs>
              <w:tab w:val="left" w:pos="880"/>
              <w:tab w:val="right" w:leader="dot" w:pos="9062"/>
            </w:tabs>
            <w:rPr>
              <w:rFonts w:asciiTheme="minorHAnsi" w:eastAsiaTheme="minorEastAsia" w:hAnsiTheme="minorHAnsi" w:cstheme="minorBidi"/>
              <w:noProof/>
              <w:sz w:val="22"/>
              <w:szCs w:val="22"/>
              <w:lang w:val="hu-HU"/>
            </w:rPr>
          </w:pPr>
          <w:hyperlink w:anchor="_Toc167702767" w:history="1">
            <w:r w:rsidR="006B0A4D" w:rsidRPr="003E7299">
              <w:rPr>
                <w:rStyle w:val="Hiperhivatkozs"/>
                <w:noProof/>
              </w:rPr>
              <w:t>3.2</w:t>
            </w:r>
            <w:r w:rsidR="006B0A4D">
              <w:rPr>
                <w:rFonts w:asciiTheme="minorHAnsi" w:eastAsiaTheme="minorEastAsia" w:hAnsiTheme="minorHAnsi" w:cstheme="minorBidi"/>
                <w:noProof/>
                <w:sz w:val="22"/>
                <w:szCs w:val="22"/>
                <w:lang w:val="hu-HU"/>
              </w:rPr>
              <w:tab/>
            </w:r>
            <w:r w:rsidR="006B0A4D" w:rsidRPr="003E7299">
              <w:rPr>
                <w:rStyle w:val="Hiperhivatkozs"/>
                <w:noProof/>
              </w:rPr>
              <w:t>Analysis of the country/regional context</w:t>
            </w:r>
            <w:r w:rsidR="006B0A4D">
              <w:rPr>
                <w:noProof/>
                <w:webHidden/>
              </w:rPr>
              <w:tab/>
            </w:r>
            <w:r w:rsidR="006B0A4D">
              <w:rPr>
                <w:noProof/>
                <w:webHidden/>
              </w:rPr>
              <w:fldChar w:fldCharType="begin"/>
            </w:r>
            <w:r w:rsidR="006B0A4D">
              <w:rPr>
                <w:noProof/>
                <w:webHidden/>
              </w:rPr>
              <w:instrText xml:space="preserve"> PAGEREF _Toc167702767 \h </w:instrText>
            </w:r>
            <w:r w:rsidR="006B0A4D">
              <w:rPr>
                <w:noProof/>
                <w:webHidden/>
              </w:rPr>
            </w:r>
            <w:r w:rsidR="006B0A4D">
              <w:rPr>
                <w:noProof/>
                <w:webHidden/>
              </w:rPr>
              <w:fldChar w:fldCharType="separate"/>
            </w:r>
            <w:r w:rsidR="006B0A4D">
              <w:rPr>
                <w:noProof/>
                <w:webHidden/>
              </w:rPr>
              <w:t>9</w:t>
            </w:r>
            <w:r w:rsidR="006B0A4D">
              <w:rPr>
                <w:noProof/>
                <w:webHidden/>
              </w:rPr>
              <w:fldChar w:fldCharType="end"/>
            </w:r>
          </w:hyperlink>
        </w:p>
        <w:p w14:paraId="66C0FC93" w14:textId="74A7BB0A"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68" w:history="1">
            <w:r w:rsidR="006B0A4D" w:rsidRPr="003E7299">
              <w:rPr>
                <w:rStyle w:val="Hiperhivatkozs"/>
                <w:noProof/>
              </w:rPr>
              <w:t>3.2.1 Readiness to Change</w:t>
            </w:r>
            <w:r w:rsidR="006B0A4D">
              <w:rPr>
                <w:noProof/>
                <w:webHidden/>
              </w:rPr>
              <w:tab/>
            </w:r>
            <w:r w:rsidR="006B0A4D">
              <w:rPr>
                <w:noProof/>
                <w:webHidden/>
              </w:rPr>
              <w:fldChar w:fldCharType="begin"/>
            </w:r>
            <w:r w:rsidR="006B0A4D">
              <w:rPr>
                <w:noProof/>
                <w:webHidden/>
              </w:rPr>
              <w:instrText xml:space="preserve"> PAGEREF _Toc167702768 \h </w:instrText>
            </w:r>
            <w:r w:rsidR="006B0A4D">
              <w:rPr>
                <w:noProof/>
                <w:webHidden/>
              </w:rPr>
            </w:r>
            <w:r w:rsidR="006B0A4D">
              <w:rPr>
                <w:noProof/>
                <w:webHidden/>
              </w:rPr>
              <w:fldChar w:fldCharType="separate"/>
            </w:r>
            <w:r w:rsidR="006B0A4D">
              <w:rPr>
                <w:noProof/>
                <w:webHidden/>
              </w:rPr>
              <w:t>9</w:t>
            </w:r>
            <w:r w:rsidR="006B0A4D">
              <w:rPr>
                <w:noProof/>
                <w:webHidden/>
              </w:rPr>
              <w:fldChar w:fldCharType="end"/>
            </w:r>
          </w:hyperlink>
        </w:p>
        <w:p w14:paraId="14A69016" w14:textId="6C062939"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69" w:history="1">
            <w:r w:rsidR="006B0A4D" w:rsidRPr="003E7299">
              <w:rPr>
                <w:rStyle w:val="Hiperhivatkozs"/>
                <w:noProof/>
              </w:rPr>
              <w:t>3.2.2. Structure &amp; Governance</w:t>
            </w:r>
            <w:r w:rsidR="006B0A4D">
              <w:rPr>
                <w:noProof/>
                <w:webHidden/>
              </w:rPr>
              <w:tab/>
            </w:r>
            <w:r w:rsidR="006B0A4D">
              <w:rPr>
                <w:noProof/>
                <w:webHidden/>
              </w:rPr>
              <w:fldChar w:fldCharType="begin"/>
            </w:r>
            <w:r w:rsidR="006B0A4D">
              <w:rPr>
                <w:noProof/>
                <w:webHidden/>
              </w:rPr>
              <w:instrText xml:space="preserve"> PAGEREF _Toc167702769 \h </w:instrText>
            </w:r>
            <w:r w:rsidR="006B0A4D">
              <w:rPr>
                <w:noProof/>
                <w:webHidden/>
              </w:rPr>
            </w:r>
            <w:r w:rsidR="006B0A4D">
              <w:rPr>
                <w:noProof/>
                <w:webHidden/>
              </w:rPr>
              <w:fldChar w:fldCharType="separate"/>
            </w:r>
            <w:r w:rsidR="006B0A4D">
              <w:rPr>
                <w:noProof/>
                <w:webHidden/>
              </w:rPr>
              <w:t>10</w:t>
            </w:r>
            <w:r w:rsidR="006B0A4D">
              <w:rPr>
                <w:noProof/>
                <w:webHidden/>
              </w:rPr>
              <w:fldChar w:fldCharType="end"/>
            </w:r>
          </w:hyperlink>
        </w:p>
        <w:p w14:paraId="54F2590F" w14:textId="6111D5E3"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70" w:history="1">
            <w:r w:rsidR="006B0A4D" w:rsidRPr="003E7299">
              <w:rPr>
                <w:rStyle w:val="Hiperhivatkozs"/>
                <w:noProof/>
              </w:rPr>
              <w:t>3.2.3. Funding</w:t>
            </w:r>
            <w:r w:rsidR="006B0A4D">
              <w:rPr>
                <w:noProof/>
                <w:webHidden/>
              </w:rPr>
              <w:tab/>
            </w:r>
            <w:r w:rsidR="006B0A4D">
              <w:rPr>
                <w:noProof/>
                <w:webHidden/>
              </w:rPr>
              <w:fldChar w:fldCharType="begin"/>
            </w:r>
            <w:r w:rsidR="006B0A4D">
              <w:rPr>
                <w:noProof/>
                <w:webHidden/>
              </w:rPr>
              <w:instrText xml:space="preserve"> PAGEREF _Toc167702770 \h </w:instrText>
            </w:r>
            <w:r w:rsidR="006B0A4D">
              <w:rPr>
                <w:noProof/>
                <w:webHidden/>
              </w:rPr>
            </w:r>
            <w:r w:rsidR="006B0A4D">
              <w:rPr>
                <w:noProof/>
                <w:webHidden/>
              </w:rPr>
              <w:fldChar w:fldCharType="separate"/>
            </w:r>
            <w:r w:rsidR="006B0A4D">
              <w:rPr>
                <w:noProof/>
                <w:webHidden/>
              </w:rPr>
              <w:t>11</w:t>
            </w:r>
            <w:r w:rsidR="006B0A4D">
              <w:rPr>
                <w:noProof/>
                <w:webHidden/>
              </w:rPr>
              <w:fldChar w:fldCharType="end"/>
            </w:r>
          </w:hyperlink>
        </w:p>
        <w:p w14:paraId="704F6FB6" w14:textId="596FA52A"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71" w:history="1">
            <w:r w:rsidR="006B0A4D" w:rsidRPr="003E7299">
              <w:rPr>
                <w:rStyle w:val="Hiperhivatkozs"/>
                <w:noProof/>
              </w:rPr>
              <w:t>3.2.4. Data Management and Security</w:t>
            </w:r>
            <w:r w:rsidR="006B0A4D">
              <w:rPr>
                <w:noProof/>
                <w:webHidden/>
              </w:rPr>
              <w:tab/>
            </w:r>
            <w:r w:rsidR="006B0A4D">
              <w:rPr>
                <w:noProof/>
                <w:webHidden/>
              </w:rPr>
              <w:fldChar w:fldCharType="begin"/>
            </w:r>
            <w:r w:rsidR="006B0A4D">
              <w:rPr>
                <w:noProof/>
                <w:webHidden/>
              </w:rPr>
              <w:instrText xml:space="preserve"> PAGEREF _Toc167702771 \h </w:instrText>
            </w:r>
            <w:r w:rsidR="006B0A4D">
              <w:rPr>
                <w:noProof/>
                <w:webHidden/>
              </w:rPr>
            </w:r>
            <w:r w:rsidR="006B0A4D">
              <w:rPr>
                <w:noProof/>
                <w:webHidden/>
              </w:rPr>
              <w:fldChar w:fldCharType="separate"/>
            </w:r>
            <w:r w:rsidR="006B0A4D">
              <w:rPr>
                <w:noProof/>
                <w:webHidden/>
              </w:rPr>
              <w:t>11</w:t>
            </w:r>
            <w:r w:rsidR="006B0A4D">
              <w:rPr>
                <w:noProof/>
                <w:webHidden/>
              </w:rPr>
              <w:fldChar w:fldCharType="end"/>
            </w:r>
          </w:hyperlink>
        </w:p>
        <w:p w14:paraId="327D7C19" w14:textId="7DC01FCF"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72" w:history="1">
            <w:r w:rsidR="006B0A4D" w:rsidRPr="003E7299">
              <w:rPr>
                <w:rStyle w:val="Hiperhivatkozs"/>
                <w:noProof/>
              </w:rPr>
              <w:t>3.2.5. Digital Infrastructure</w:t>
            </w:r>
            <w:r w:rsidR="006B0A4D">
              <w:rPr>
                <w:noProof/>
                <w:webHidden/>
              </w:rPr>
              <w:tab/>
            </w:r>
            <w:r w:rsidR="006B0A4D">
              <w:rPr>
                <w:noProof/>
                <w:webHidden/>
              </w:rPr>
              <w:fldChar w:fldCharType="begin"/>
            </w:r>
            <w:r w:rsidR="006B0A4D">
              <w:rPr>
                <w:noProof/>
                <w:webHidden/>
              </w:rPr>
              <w:instrText xml:space="preserve"> PAGEREF _Toc167702772 \h </w:instrText>
            </w:r>
            <w:r w:rsidR="006B0A4D">
              <w:rPr>
                <w:noProof/>
                <w:webHidden/>
              </w:rPr>
            </w:r>
            <w:r w:rsidR="006B0A4D">
              <w:rPr>
                <w:noProof/>
                <w:webHidden/>
              </w:rPr>
              <w:fldChar w:fldCharType="separate"/>
            </w:r>
            <w:r w:rsidR="006B0A4D">
              <w:rPr>
                <w:noProof/>
                <w:webHidden/>
              </w:rPr>
              <w:t>12</w:t>
            </w:r>
            <w:r w:rsidR="006B0A4D">
              <w:rPr>
                <w:noProof/>
                <w:webHidden/>
              </w:rPr>
              <w:fldChar w:fldCharType="end"/>
            </w:r>
          </w:hyperlink>
        </w:p>
        <w:p w14:paraId="130EA2FA" w14:textId="28C81DFB"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73" w:history="1">
            <w:r w:rsidR="006B0A4D" w:rsidRPr="003E7299">
              <w:rPr>
                <w:rStyle w:val="Hiperhivatkozs"/>
                <w:noProof/>
              </w:rPr>
              <w:t>3.2.6. Integrating Digital Solutions into Health Services</w:t>
            </w:r>
            <w:r w:rsidR="006B0A4D">
              <w:rPr>
                <w:noProof/>
                <w:webHidden/>
              </w:rPr>
              <w:tab/>
            </w:r>
            <w:r w:rsidR="006B0A4D">
              <w:rPr>
                <w:noProof/>
                <w:webHidden/>
              </w:rPr>
              <w:fldChar w:fldCharType="begin"/>
            </w:r>
            <w:r w:rsidR="006B0A4D">
              <w:rPr>
                <w:noProof/>
                <w:webHidden/>
              </w:rPr>
              <w:instrText xml:space="preserve"> PAGEREF _Toc167702773 \h </w:instrText>
            </w:r>
            <w:r w:rsidR="006B0A4D">
              <w:rPr>
                <w:noProof/>
                <w:webHidden/>
              </w:rPr>
            </w:r>
            <w:r w:rsidR="006B0A4D">
              <w:rPr>
                <w:noProof/>
                <w:webHidden/>
              </w:rPr>
              <w:fldChar w:fldCharType="separate"/>
            </w:r>
            <w:r w:rsidR="006B0A4D">
              <w:rPr>
                <w:noProof/>
                <w:webHidden/>
              </w:rPr>
              <w:t>13</w:t>
            </w:r>
            <w:r w:rsidR="006B0A4D">
              <w:rPr>
                <w:noProof/>
                <w:webHidden/>
              </w:rPr>
              <w:fldChar w:fldCharType="end"/>
            </w:r>
          </w:hyperlink>
        </w:p>
        <w:p w14:paraId="338F06C5" w14:textId="4EBD7ACF"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74" w:history="1">
            <w:r w:rsidR="006B0A4D" w:rsidRPr="003E7299">
              <w:rPr>
                <w:rStyle w:val="Hiperhivatkozs"/>
                <w:noProof/>
              </w:rPr>
              <w:t>3.2.7. Workforce Capacity Building</w:t>
            </w:r>
            <w:r w:rsidR="006B0A4D">
              <w:rPr>
                <w:noProof/>
                <w:webHidden/>
              </w:rPr>
              <w:tab/>
            </w:r>
            <w:r w:rsidR="006B0A4D">
              <w:rPr>
                <w:noProof/>
                <w:webHidden/>
              </w:rPr>
              <w:fldChar w:fldCharType="begin"/>
            </w:r>
            <w:r w:rsidR="006B0A4D">
              <w:rPr>
                <w:noProof/>
                <w:webHidden/>
              </w:rPr>
              <w:instrText xml:space="preserve"> PAGEREF _Toc167702774 \h </w:instrText>
            </w:r>
            <w:r w:rsidR="006B0A4D">
              <w:rPr>
                <w:noProof/>
                <w:webHidden/>
              </w:rPr>
            </w:r>
            <w:r w:rsidR="006B0A4D">
              <w:rPr>
                <w:noProof/>
                <w:webHidden/>
              </w:rPr>
              <w:fldChar w:fldCharType="separate"/>
            </w:r>
            <w:r w:rsidR="006B0A4D">
              <w:rPr>
                <w:noProof/>
                <w:webHidden/>
              </w:rPr>
              <w:t>14</w:t>
            </w:r>
            <w:r w:rsidR="006B0A4D">
              <w:rPr>
                <w:noProof/>
                <w:webHidden/>
              </w:rPr>
              <w:fldChar w:fldCharType="end"/>
            </w:r>
          </w:hyperlink>
        </w:p>
        <w:p w14:paraId="11038504" w14:textId="39B5E0B8"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75" w:history="1">
            <w:r w:rsidR="006B0A4D" w:rsidRPr="003E7299">
              <w:rPr>
                <w:rStyle w:val="Hiperhivatkozs"/>
                <w:noProof/>
              </w:rPr>
              <w:t>3.2.8. Population Approach and Citizen Empowerment</w:t>
            </w:r>
            <w:r w:rsidR="006B0A4D">
              <w:rPr>
                <w:noProof/>
                <w:webHidden/>
              </w:rPr>
              <w:tab/>
            </w:r>
            <w:r w:rsidR="006B0A4D">
              <w:rPr>
                <w:noProof/>
                <w:webHidden/>
              </w:rPr>
              <w:fldChar w:fldCharType="begin"/>
            </w:r>
            <w:r w:rsidR="006B0A4D">
              <w:rPr>
                <w:noProof/>
                <w:webHidden/>
              </w:rPr>
              <w:instrText xml:space="preserve"> PAGEREF _Toc167702775 \h </w:instrText>
            </w:r>
            <w:r w:rsidR="006B0A4D">
              <w:rPr>
                <w:noProof/>
                <w:webHidden/>
              </w:rPr>
            </w:r>
            <w:r w:rsidR="006B0A4D">
              <w:rPr>
                <w:noProof/>
                <w:webHidden/>
              </w:rPr>
              <w:fldChar w:fldCharType="separate"/>
            </w:r>
            <w:r w:rsidR="006B0A4D">
              <w:rPr>
                <w:noProof/>
                <w:webHidden/>
              </w:rPr>
              <w:t>14</w:t>
            </w:r>
            <w:r w:rsidR="006B0A4D">
              <w:rPr>
                <w:noProof/>
                <w:webHidden/>
              </w:rPr>
              <w:fldChar w:fldCharType="end"/>
            </w:r>
          </w:hyperlink>
        </w:p>
        <w:p w14:paraId="4F12AEF0" w14:textId="47D66D9C"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76" w:history="1">
            <w:r w:rsidR="006B0A4D" w:rsidRPr="003E7299">
              <w:rPr>
                <w:rStyle w:val="Hiperhivatkozs"/>
                <w:noProof/>
              </w:rPr>
              <w:t>3.2.9. Innovation Management</w:t>
            </w:r>
            <w:r w:rsidR="006B0A4D">
              <w:rPr>
                <w:noProof/>
                <w:webHidden/>
              </w:rPr>
              <w:tab/>
            </w:r>
            <w:r w:rsidR="006B0A4D">
              <w:rPr>
                <w:noProof/>
                <w:webHidden/>
              </w:rPr>
              <w:fldChar w:fldCharType="begin"/>
            </w:r>
            <w:r w:rsidR="006B0A4D">
              <w:rPr>
                <w:noProof/>
                <w:webHidden/>
              </w:rPr>
              <w:instrText xml:space="preserve"> PAGEREF _Toc167702776 \h </w:instrText>
            </w:r>
            <w:r w:rsidR="006B0A4D">
              <w:rPr>
                <w:noProof/>
                <w:webHidden/>
              </w:rPr>
            </w:r>
            <w:r w:rsidR="006B0A4D">
              <w:rPr>
                <w:noProof/>
                <w:webHidden/>
              </w:rPr>
              <w:fldChar w:fldCharType="separate"/>
            </w:r>
            <w:r w:rsidR="006B0A4D">
              <w:rPr>
                <w:noProof/>
                <w:webHidden/>
              </w:rPr>
              <w:t>15</w:t>
            </w:r>
            <w:r w:rsidR="006B0A4D">
              <w:rPr>
                <w:noProof/>
                <w:webHidden/>
              </w:rPr>
              <w:fldChar w:fldCharType="end"/>
            </w:r>
          </w:hyperlink>
        </w:p>
        <w:p w14:paraId="1ACE07C7" w14:textId="4FC0FA44"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77" w:history="1">
            <w:r w:rsidR="006B0A4D" w:rsidRPr="003E7299">
              <w:rPr>
                <w:rStyle w:val="Hiperhivatkozs"/>
                <w:noProof/>
              </w:rPr>
              <w:t>3.2.10. Evaluation Methods</w:t>
            </w:r>
            <w:r w:rsidR="006B0A4D">
              <w:rPr>
                <w:noProof/>
                <w:webHidden/>
              </w:rPr>
              <w:tab/>
            </w:r>
            <w:r w:rsidR="006B0A4D">
              <w:rPr>
                <w:noProof/>
                <w:webHidden/>
              </w:rPr>
              <w:fldChar w:fldCharType="begin"/>
            </w:r>
            <w:r w:rsidR="006B0A4D">
              <w:rPr>
                <w:noProof/>
                <w:webHidden/>
              </w:rPr>
              <w:instrText xml:space="preserve"> PAGEREF _Toc167702777 \h </w:instrText>
            </w:r>
            <w:r w:rsidR="006B0A4D">
              <w:rPr>
                <w:noProof/>
                <w:webHidden/>
              </w:rPr>
            </w:r>
            <w:r w:rsidR="006B0A4D">
              <w:rPr>
                <w:noProof/>
                <w:webHidden/>
              </w:rPr>
              <w:fldChar w:fldCharType="separate"/>
            </w:r>
            <w:r w:rsidR="006B0A4D">
              <w:rPr>
                <w:noProof/>
                <w:webHidden/>
              </w:rPr>
              <w:t>16</w:t>
            </w:r>
            <w:r w:rsidR="006B0A4D">
              <w:rPr>
                <w:noProof/>
                <w:webHidden/>
              </w:rPr>
              <w:fldChar w:fldCharType="end"/>
            </w:r>
          </w:hyperlink>
        </w:p>
        <w:p w14:paraId="6D0D27EB" w14:textId="14E071D0"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78" w:history="1">
            <w:r w:rsidR="006B0A4D" w:rsidRPr="003E7299">
              <w:rPr>
                <w:rStyle w:val="Hiperhivatkozs"/>
                <w:noProof/>
              </w:rPr>
              <w:t>3.2.11. Breadth of Ambition</w:t>
            </w:r>
            <w:r w:rsidR="006B0A4D">
              <w:rPr>
                <w:noProof/>
                <w:webHidden/>
              </w:rPr>
              <w:tab/>
            </w:r>
            <w:r w:rsidR="006B0A4D">
              <w:rPr>
                <w:noProof/>
                <w:webHidden/>
              </w:rPr>
              <w:fldChar w:fldCharType="begin"/>
            </w:r>
            <w:r w:rsidR="006B0A4D">
              <w:rPr>
                <w:noProof/>
                <w:webHidden/>
              </w:rPr>
              <w:instrText xml:space="preserve"> PAGEREF _Toc167702778 \h </w:instrText>
            </w:r>
            <w:r w:rsidR="006B0A4D">
              <w:rPr>
                <w:noProof/>
                <w:webHidden/>
              </w:rPr>
            </w:r>
            <w:r w:rsidR="006B0A4D">
              <w:rPr>
                <w:noProof/>
                <w:webHidden/>
              </w:rPr>
              <w:fldChar w:fldCharType="separate"/>
            </w:r>
            <w:r w:rsidR="006B0A4D">
              <w:rPr>
                <w:noProof/>
                <w:webHidden/>
              </w:rPr>
              <w:t>17</w:t>
            </w:r>
            <w:r w:rsidR="006B0A4D">
              <w:rPr>
                <w:noProof/>
                <w:webHidden/>
              </w:rPr>
              <w:fldChar w:fldCharType="end"/>
            </w:r>
          </w:hyperlink>
        </w:p>
        <w:p w14:paraId="2CC15F47" w14:textId="172A8C4A"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79" w:history="1">
            <w:r w:rsidR="006B0A4D" w:rsidRPr="003E7299">
              <w:rPr>
                <w:rStyle w:val="Hiperhivatkozs"/>
                <w:noProof/>
              </w:rPr>
              <w:t>3.2.12. Removal of Inhibitors</w:t>
            </w:r>
            <w:r w:rsidR="006B0A4D">
              <w:rPr>
                <w:noProof/>
                <w:webHidden/>
              </w:rPr>
              <w:tab/>
            </w:r>
            <w:r w:rsidR="006B0A4D">
              <w:rPr>
                <w:noProof/>
                <w:webHidden/>
              </w:rPr>
              <w:fldChar w:fldCharType="begin"/>
            </w:r>
            <w:r w:rsidR="006B0A4D">
              <w:rPr>
                <w:noProof/>
                <w:webHidden/>
              </w:rPr>
              <w:instrText xml:space="preserve"> PAGEREF _Toc167702779 \h </w:instrText>
            </w:r>
            <w:r w:rsidR="006B0A4D">
              <w:rPr>
                <w:noProof/>
                <w:webHidden/>
              </w:rPr>
            </w:r>
            <w:r w:rsidR="006B0A4D">
              <w:rPr>
                <w:noProof/>
                <w:webHidden/>
              </w:rPr>
              <w:fldChar w:fldCharType="separate"/>
            </w:r>
            <w:r w:rsidR="006B0A4D">
              <w:rPr>
                <w:noProof/>
                <w:webHidden/>
              </w:rPr>
              <w:t>17</w:t>
            </w:r>
            <w:r w:rsidR="006B0A4D">
              <w:rPr>
                <w:noProof/>
                <w:webHidden/>
              </w:rPr>
              <w:fldChar w:fldCharType="end"/>
            </w:r>
          </w:hyperlink>
        </w:p>
        <w:p w14:paraId="1170F8D8" w14:textId="73E43FFA" w:rsidR="006B0A4D" w:rsidRDefault="007C1C74">
          <w:pPr>
            <w:pStyle w:val="TJ2"/>
            <w:tabs>
              <w:tab w:val="left" w:pos="880"/>
              <w:tab w:val="right" w:leader="dot" w:pos="9062"/>
            </w:tabs>
            <w:rPr>
              <w:rFonts w:asciiTheme="minorHAnsi" w:eastAsiaTheme="minorEastAsia" w:hAnsiTheme="minorHAnsi" w:cstheme="minorBidi"/>
              <w:noProof/>
              <w:sz w:val="22"/>
              <w:szCs w:val="22"/>
              <w:lang w:val="hu-HU"/>
            </w:rPr>
          </w:pPr>
          <w:hyperlink w:anchor="_Toc167702780" w:history="1">
            <w:r w:rsidR="006B0A4D" w:rsidRPr="003E7299">
              <w:rPr>
                <w:rStyle w:val="Hiperhivatkozs"/>
                <w:noProof/>
              </w:rPr>
              <w:t>3.3</w:t>
            </w:r>
            <w:r w:rsidR="006B0A4D">
              <w:rPr>
                <w:rFonts w:asciiTheme="minorHAnsi" w:eastAsiaTheme="minorEastAsia" w:hAnsiTheme="minorHAnsi" w:cstheme="minorBidi"/>
                <w:noProof/>
                <w:sz w:val="22"/>
                <w:szCs w:val="22"/>
                <w:lang w:val="hu-HU"/>
              </w:rPr>
              <w:tab/>
            </w:r>
            <w:r w:rsidR="006B0A4D" w:rsidRPr="003E7299">
              <w:rPr>
                <w:rStyle w:val="Hiperhivatkozs"/>
                <w:noProof/>
              </w:rPr>
              <w:t>Connecting the Local Partner Analysis to Pilot Projects</w:t>
            </w:r>
            <w:r w:rsidR="006B0A4D">
              <w:rPr>
                <w:noProof/>
                <w:webHidden/>
              </w:rPr>
              <w:tab/>
            </w:r>
            <w:r w:rsidR="006B0A4D">
              <w:rPr>
                <w:noProof/>
                <w:webHidden/>
              </w:rPr>
              <w:fldChar w:fldCharType="begin"/>
            </w:r>
            <w:r w:rsidR="006B0A4D">
              <w:rPr>
                <w:noProof/>
                <w:webHidden/>
              </w:rPr>
              <w:instrText xml:space="preserve"> PAGEREF _Toc167702780 \h </w:instrText>
            </w:r>
            <w:r w:rsidR="006B0A4D">
              <w:rPr>
                <w:noProof/>
                <w:webHidden/>
              </w:rPr>
            </w:r>
            <w:r w:rsidR="006B0A4D">
              <w:rPr>
                <w:noProof/>
                <w:webHidden/>
              </w:rPr>
              <w:fldChar w:fldCharType="separate"/>
            </w:r>
            <w:r w:rsidR="006B0A4D">
              <w:rPr>
                <w:noProof/>
                <w:webHidden/>
              </w:rPr>
              <w:t>18</w:t>
            </w:r>
            <w:r w:rsidR="006B0A4D">
              <w:rPr>
                <w:noProof/>
                <w:webHidden/>
              </w:rPr>
              <w:fldChar w:fldCharType="end"/>
            </w:r>
          </w:hyperlink>
        </w:p>
        <w:p w14:paraId="360725F9" w14:textId="311A0623"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81" w:history="1">
            <w:r w:rsidR="006B0A4D" w:rsidRPr="003E7299">
              <w:rPr>
                <w:rStyle w:val="Hiperhivatkozs"/>
                <w:noProof/>
              </w:rPr>
              <w:t>3.3.1 Summary Table on Strengths (good practices) and Perspectives for Improvement (barriers)</w:t>
            </w:r>
            <w:r w:rsidR="006B0A4D">
              <w:rPr>
                <w:noProof/>
                <w:webHidden/>
              </w:rPr>
              <w:tab/>
            </w:r>
            <w:r w:rsidR="006B0A4D">
              <w:rPr>
                <w:noProof/>
                <w:webHidden/>
              </w:rPr>
              <w:fldChar w:fldCharType="begin"/>
            </w:r>
            <w:r w:rsidR="006B0A4D">
              <w:rPr>
                <w:noProof/>
                <w:webHidden/>
              </w:rPr>
              <w:instrText xml:space="preserve"> PAGEREF _Toc167702781 \h </w:instrText>
            </w:r>
            <w:r w:rsidR="006B0A4D">
              <w:rPr>
                <w:noProof/>
                <w:webHidden/>
              </w:rPr>
            </w:r>
            <w:r w:rsidR="006B0A4D">
              <w:rPr>
                <w:noProof/>
                <w:webHidden/>
              </w:rPr>
              <w:fldChar w:fldCharType="separate"/>
            </w:r>
            <w:r w:rsidR="006B0A4D">
              <w:rPr>
                <w:noProof/>
                <w:webHidden/>
              </w:rPr>
              <w:t>18</w:t>
            </w:r>
            <w:r w:rsidR="006B0A4D">
              <w:rPr>
                <w:noProof/>
                <w:webHidden/>
              </w:rPr>
              <w:fldChar w:fldCharType="end"/>
            </w:r>
          </w:hyperlink>
        </w:p>
        <w:p w14:paraId="4B48A171" w14:textId="3D16264E"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82" w:history="1">
            <w:r w:rsidR="006B0A4D" w:rsidRPr="003E7299">
              <w:rPr>
                <w:rStyle w:val="Hiperhivatkozs"/>
                <w:noProof/>
              </w:rPr>
              <w:t>3.3.2. Building on Identified Strengths (good practices) and Perspectives for Improvement (barriers)</w:t>
            </w:r>
            <w:r w:rsidR="006B0A4D">
              <w:rPr>
                <w:noProof/>
                <w:webHidden/>
              </w:rPr>
              <w:tab/>
            </w:r>
            <w:r w:rsidR="006B0A4D">
              <w:rPr>
                <w:noProof/>
                <w:webHidden/>
              </w:rPr>
              <w:fldChar w:fldCharType="begin"/>
            </w:r>
            <w:r w:rsidR="006B0A4D">
              <w:rPr>
                <w:noProof/>
                <w:webHidden/>
              </w:rPr>
              <w:instrText xml:space="preserve"> PAGEREF _Toc167702782 \h </w:instrText>
            </w:r>
            <w:r w:rsidR="006B0A4D">
              <w:rPr>
                <w:noProof/>
                <w:webHidden/>
              </w:rPr>
            </w:r>
            <w:r w:rsidR="006B0A4D">
              <w:rPr>
                <w:noProof/>
                <w:webHidden/>
              </w:rPr>
              <w:fldChar w:fldCharType="separate"/>
            </w:r>
            <w:r w:rsidR="006B0A4D">
              <w:rPr>
                <w:noProof/>
                <w:webHidden/>
              </w:rPr>
              <w:t>19</w:t>
            </w:r>
            <w:r w:rsidR="006B0A4D">
              <w:rPr>
                <w:noProof/>
                <w:webHidden/>
              </w:rPr>
              <w:fldChar w:fldCharType="end"/>
            </w:r>
          </w:hyperlink>
        </w:p>
        <w:p w14:paraId="3C6639AD" w14:textId="2E388AD5" w:rsidR="006B0A4D" w:rsidRDefault="007C1C74">
          <w:pPr>
            <w:pStyle w:val="TJ3"/>
            <w:tabs>
              <w:tab w:val="right" w:leader="dot" w:pos="9062"/>
            </w:tabs>
            <w:rPr>
              <w:rFonts w:asciiTheme="minorHAnsi" w:eastAsiaTheme="minorEastAsia" w:hAnsiTheme="minorHAnsi" w:cstheme="minorBidi"/>
              <w:noProof/>
              <w:sz w:val="22"/>
              <w:szCs w:val="22"/>
              <w:lang w:val="hu-HU"/>
            </w:rPr>
          </w:pPr>
          <w:hyperlink w:anchor="_Toc167702783" w:history="1">
            <w:r w:rsidR="006B0A4D" w:rsidRPr="003E7299">
              <w:rPr>
                <w:rStyle w:val="Hiperhivatkozs"/>
                <w:noProof/>
              </w:rPr>
              <w:t>3.3.3. Visual summary of the local partner analyses</w:t>
            </w:r>
            <w:r w:rsidR="006B0A4D">
              <w:rPr>
                <w:noProof/>
                <w:webHidden/>
              </w:rPr>
              <w:tab/>
            </w:r>
            <w:r w:rsidR="006B0A4D">
              <w:rPr>
                <w:noProof/>
                <w:webHidden/>
              </w:rPr>
              <w:fldChar w:fldCharType="begin"/>
            </w:r>
            <w:r w:rsidR="006B0A4D">
              <w:rPr>
                <w:noProof/>
                <w:webHidden/>
              </w:rPr>
              <w:instrText xml:space="preserve"> PAGEREF _Toc167702783 \h </w:instrText>
            </w:r>
            <w:r w:rsidR="006B0A4D">
              <w:rPr>
                <w:noProof/>
                <w:webHidden/>
              </w:rPr>
            </w:r>
            <w:r w:rsidR="006B0A4D">
              <w:rPr>
                <w:noProof/>
                <w:webHidden/>
              </w:rPr>
              <w:fldChar w:fldCharType="separate"/>
            </w:r>
            <w:r w:rsidR="006B0A4D">
              <w:rPr>
                <w:noProof/>
                <w:webHidden/>
              </w:rPr>
              <w:t>19</w:t>
            </w:r>
            <w:r w:rsidR="006B0A4D">
              <w:rPr>
                <w:noProof/>
                <w:webHidden/>
              </w:rPr>
              <w:fldChar w:fldCharType="end"/>
            </w:r>
          </w:hyperlink>
        </w:p>
        <w:p w14:paraId="38BF8295" w14:textId="7599D7FD" w:rsidR="006B0A4D" w:rsidRDefault="007C1C74">
          <w:pPr>
            <w:pStyle w:val="TJ1"/>
            <w:tabs>
              <w:tab w:val="left" w:pos="480"/>
              <w:tab w:val="right" w:leader="dot" w:pos="9062"/>
            </w:tabs>
            <w:rPr>
              <w:rFonts w:asciiTheme="minorHAnsi" w:eastAsiaTheme="minorEastAsia" w:hAnsiTheme="minorHAnsi" w:cstheme="minorBidi"/>
              <w:noProof/>
              <w:sz w:val="22"/>
              <w:szCs w:val="22"/>
              <w:lang w:val="hu-HU"/>
            </w:rPr>
          </w:pPr>
          <w:hyperlink w:anchor="_Toc167702784" w:history="1">
            <w:r w:rsidR="006B0A4D" w:rsidRPr="003E7299">
              <w:rPr>
                <w:rStyle w:val="Hiperhivatkozs"/>
                <w:noProof/>
              </w:rPr>
              <w:t>4.</w:t>
            </w:r>
            <w:r w:rsidR="006B0A4D">
              <w:rPr>
                <w:rFonts w:asciiTheme="minorHAnsi" w:eastAsiaTheme="minorEastAsia" w:hAnsiTheme="minorHAnsi" w:cstheme="minorBidi"/>
                <w:noProof/>
                <w:sz w:val="22"/>
                <w:szCs w:val="22"/>
                <w:lang w:val="hu-HU"/>
              </w:rPr>
              <w:tab/>
            </w:r>
            <w:r w:rsidR="006B0A4D" w:rsidRPr="003E7299">
              <w:rPr>
                <w:rStyle w:val="Hiperhivatkozs"/>
                <w:noProof/>
              </w:rPr>
              <w:t>Sources</w:t>
            </w:r>
            <w:r w:rsidR="006B0A4D">
              <w:rPr>
                <w:noProof/>
                <w:webHidden/>
              </w:rPr>
              <w:tab/>
            </w:r>
            <w:r w:rsidR="006B0A4D">
              <w:rPr>
                <w:noProof/>
                <w:webHidden/>
              </w:rPr>
              <w:fldChar w:fldCharType="begin"/>
            </w:r>
            <w:r w:rsidR="006B0A4D">
              <w:rPr>
                <w:noProof/>
                <w:webHidden/>
              </w:rPr>
              <w:instrText xml:space="preserve"> PAGEREF _Toc167702784 \h </w:instrText>
            </w:r>
            <w:r w:rsidR="006B0A4D">
              <w:rPr>
                <w:noProof/>
                <w:webHidden/>
              </w:rPr>
            </w:r>
            <w:r w:rsidR="006B0A4D">
              <w:rPr>
                <w:noProof/>
                <w:webHidden/>
              </w:rPr>
              <w:fldChar w:fldCharType="separate"/>
            </w:r>
            <w:r w:rsidR="006B0A4D">
              <w:rPr>
                <w:noProof/>
                <w:webHidden/>
              </w:rPr>
              <w:t>21</w:t>
            </w:r>
            <w:r w:rsidR="006B0A4D">
              <w:rPr>
                <w:noProof/>
                <w:webHidden/>
              </w:rPr>
              <w:fldChar w:fldCharType="end"/>
            </w:r>
          </w:hyperlink>
        </w:p>
        <w:p w14:paraId="46C6508B" w14:textId="5787C256" w:rsidR="003E55CB" w:rsidRDefault="003E55CB">
          <w:r>
            <w:rPr>
              <w:b/>
              <w:bCs/>
            </w:rPr>
            <w:fldChar w:fldCharType="end"/>
          </w:r>
        </w:p>
      </w:sdtContent>
    </w:sdt>
    <w:p w14:paraId="00000020" w14:textId="59B89EA6" w:rsidR="00CF2104" w:rsidRDefault="00CF2104"/>
    <w:p w14:paraId="1AAB38F3" w14:textId="7FF419D7" w:rsidR="00B051F9" w:rsidRDefault="00B051F9"/>
    <w:p w14:paraId="5290503B" w14:textId="77777777" w:rsidR="00B051F9" w:rsidRDefault="00B051F9"/>
    <w:p w14:paraId="1C7D9F03" w14:textId="2594100F" w:rsidR="00C27DF4" w:rsidRDefault="00C27DF4" w:rsidP="00C27DF4">
      <w:pPr>
        <w:pStyle w:val="Listaszerbekezds"/>
        <w:rPr>
          <w:b/>
          <w:bCs/>
          <w:i/>
          <w:iCs/>
        </w:rPr>
      </w:pPr>
    </w:p>
    <w:p w14:paraId="3C38DC40" w14:textId="26CDB144" w:rsidR="00B051F9" w:rsidRDefault="00B051F9" w:rsidP="00C27DF4">
      <w:pPr>
        <w:pStyle w:val="Listaszerbekezds"/>
        <w:rPr>
          <w:b/>
          <w:bCs/>
          <w:i/>
          <w:iCs/>
        </w:rPr>
      </w:pPr>
    </w:p>
    <w:p w14:paraId="3C1632D4" w14:textId="77777777" w:rsidR="00B051F9" w:rsidRPr="006B2E51" w:rsidRDefault="00B051F9" w:rsidP="00C27DF4">
      <w:pPr>
        <w:pStyle w:val="Listaszerbekezds"/>
        <w:rPr>
          <w:b/>
          <w:bCs/>
          <w:i/>
          <w:iCs/>
        </w:rPr>
      </w:pPr>
      <w:bookmarkStart w:id="0" w:name="_GoBack"/>
      <w:bookmarkEnd w:id="0"/>
    </w:p>
    <w:p w14:paraId="1A49F57B" w14:textId="77777777" w:rsidR="00C27DF4" w:rsidRPr="006B2E51" w:rsidRDefault="00C27DF4" w:rsidP="00C27DF4">
      <w:pPr>
        <w:pBdr>
          <w:top w:val="single" w:sz="4" w:space="1" w:color="auto"/>
          <w:left w:val="single" w:sz="4" w:space="1" w:color="auto"/>
          <w:bottom w:val="single" w:sz="4" w:space="1" w:color="auto"/>
          <w:right w:val="single" w:sz="4" w:space="1" w:color="auto"/>
        </w:pBdr>
        <w:jc w:val="center"/>
        <w:rPr>
          <w:b/>
          <w:bCs/>
          <w:i/>
          <w:iCs/>
        </w:rPr>
      </w:pPr>
      <w:r w:rsidRPr="006B2E51">
        <w:rPr>
          <w:b/>
          <w:bCs/>
        </w:rPr>
        <w:t xml:space="preserve">For a presentation of the questionnaire and instructions on how to complete it, see the </w:t>
      </w:r>
      <w:r w:rsidRPr="006B2E51">
        <w:rPr>
          <w:b/>
          <w:bCs/>
          <w:i/>
          <w:iCs/>
        </w:rPr>
        <w:t>Accompanying Document.</w:t>
      </w:r>
    </w:p>
    <w:p w14:paraId="225B3CC9" w14:textId="77777777" w:rsidR="00C27DF4" w:rsidRDefault="00C27DF4" w:rsidP="00C27DF4">
      <w:pPr>
        <w:pBdr>
          <w:top w:val="single" w:sz="4" w:space="1" w:color="auto"/>
          <w:left w:val="single" w:sz="4" w:space="1" w:color="auto"/>
          <w:bottom w:val="single" w:sz="4" w:space="1" w:color="auto"/>
          <w:right w:val="single" w:sz="4" w:space="1" w:color="auto"/>
        </w:pBdr>
        <w:spacing w:after="0" w:line="240" w:lineRule="auto"/>
        <w:jc w:val="center"/>
      </w:pPr>
      <w:r>
        <w:t>In case of questions, issues or doubts related to this deliverable, do not hesitate to contact the D.1.1.2 team at:</w:t>
      </w:r>
    </w:p>
    <w:p w14:paraId="2137C157" w14:textId="77777777" w:rsidR="00C27DF4" w:rsidRPr="00002B09" w:rsidRDefault="007C1C74" w:rsidP="00C27DF4">
      <w:pPr>
        <w:pBdr>
          <w:top w:val="single" w:sz="4" w:space="1" w:color="auto"/>
          <w:left w:val="single" w:sz="4" w:space="1" w:color="auto"/>
          <w:bottom w:val="single" w:sz="4" w:space="1" w:color="auto"/>
          <w:right w:val="single" w:sz="4" w:space="1" w:color="auto"/>
        </w:pBdr>
        <w:jc w:val="center"/>
      </w:pPr>
      <w:hyperlink r:id="rId11" w:history="1">
        <w:r w:rsidR="00C27DF4" w:rsidRPr="005D4361">
          <w:rPr>
            <w:rStyle w:val="Hiperhivatkozs"/>
          </w:rPr>
          <w:t>davidovics.krisztina@emk.semmelweis.hu</w:t>
        </w:r>
      </w:hyperlink>
      <w:r w:rsidR="00C27DF4">
        <w:t xml:space="preserve">; </w:t>
      </w:r>
      <w:hyperlink r:id="rId12" w:history="1">
        <w:r w:rsidR="00C27DF4" w:rsidRPr="005D4361">
          <w:rPr>
            <w:rStyle w:val="Hiperhivatkozs"/>
          </w:rPr>
          <w:t>varga.gergely@emk.semmelweis.hu</w:t>
        </w:r>
      </w:hyperlink>
      <w:r w:rsidR="00C27DF4">
        <w:t xml:space="preserve">; </w:t>
      </w:r>
      <w:hyperlink r:id="rId13" w:history="1">
        <w:r w:rsidR="00C27DF4" w:rsidRPr="006B2E51">
          <w:rPr>
            <w:rStyle w:val="Hiperhivatkozs"/>
            <w:lang w:val="en-US"/>
          </w:rPr>
          <w:t>szerencses.viktoria@emk.semmelweis.hu</w:t>
        </w:r>
      </w:hyperlink>
    </w:p>
    <w:p w14:paraId="22E99192" w14:textId="77777777" w:rsidR="005B2C82" w:rsidRDefault="005B2C82"/>
    <w:p w14:paraId="64A74DA4" w14:textId="77777777" w:rsidR="005B2C82" w:rsidRDefault="005B2C82"/>
    <w:p w14:paraId="74116AD5" w14:textId="77777777" w:rsidR="005B2C82" w:rsidRDefault="005B2C82"/>
    <w:p w14:paraId="21CC8BC9" w14:textId="77777777" w:rsidR="005B2C82" w:rsidRDefault="005B2C82"/>
    <w:p w14:paraId="23ECA179" w14:textId="65D11982" w:rsidR="005B2C82" w:rsidRDefault="005B2C82">
      <w:pPr>
        <w:rPr>
          <w:lang w:val="en-US"/>
        </w:rPr>
      </w:pPr>
      <w:r>
        <w:rPr>
          <w:lang w:val="en-US"/>
        </w:rPr>
        <w:br w:type="page"/>
      </w:r>
    </w:p>
    <w:p w14:paraId="00000023" w14:textId="77777777" w:rsidR="00CF2104" w:rsidRDefault="00CB5E95">
      <w:pPr>
        <w:pStyle w:val="Cmsor1"/>
        <w:numPr>
          <w:ilvl w:val="0"/>
          <w:numId w:val="4"/>
        </w:numPr>
        <w:jc w:val="both"/>
      </w:pPr>
      <w:bookmarkStart w:id="1" w:name="_Toc167702761"/>
      <w:r>
        <w:lastRenderedPageBreak/>
        <w:t>Rationale and Aim of Deliverable 1.1.2</w:t>
      </w:r>
      <w:bookmarkEnd w:id="1"/>
    </w:p>
    <w:p w14:paraId="00000024" w14:textId="77777777" w:rsidR="00CF2104" w:rsidRDefault="00CB5E95">
      <w:pPr>
        <w:pStyle w:val="Cmsor2"/>
        <w:jc w:val="both"/>
      </w:pPr>
      <w:bookmarkStart w:id="2" w:name="_Toc167702762"/>
      <w:r>
        <w:t>1.1 Objectives and Organisational Context of the Project</w:t>
      </w:r>
      <w:bookmarkEnd w:id="2"/>
    </w:p>
    <w:p w14:paraId="00000025" w14:textId="77777777" w:rsidR="00CF2104" w:rsidRDefault="00CB5E95">
      <w:pPr>
        <w:jc w:val="both"/>
      </w:pPr>
      <w:r>
        <w:t>DIGI4Care aims to foster the uptake of innovation and digital technologies in healthcare provision through transnational collaboration. It aims to develop, test, and validate joint solutions that address the primary challenges impeding the uptake and upscaling of digital technologies in the health industry, embedded in a strengthened quadruple transnational research and innovation ecosystem.</w:t>
      </w:r>
    </w:p>
    <w:p w14:paraId="00000026" w14:textId="77777777" w:rsidR="00CF2104" w:rsidRDefault="00CB5E95">
      <w:pPr>
        <w:jc w:val="both"/>
      </w:pPr>
      <w:r>
        <w:t>This overall objective is supported by three specific objectives set by the 12 participating partners of the Danube Region. These specific objectives address three crucial components of achieving the stated general aim: (1) creating a receptive context to the introduction of digital innovations; (2) introducing and evaluating the innovations in the framework of pilot projects realised through transnational collaboration; and (3) in case they are deemed successful, ensuring the sustainability and transferability of those digital innovations. Each specific objective is further broken down into activities, that is, practical achievements that together constitute the reaching of the given specific objective. Finally, under each activity, project partners determined a sequence of deliverables. These series of documents delineate an implicit roadmap towards the given activity, and their completion attests to the successful traversing of this roadmap.</w:t>
      </w:r>
    </w:p>
    <w:p w14:paraId="00000027" w14:textId="77777777" w:rsidR="00CF2104" w:rsidRDefault="00CB5E95">
      <w:pPr>
        <w:pStyle w:val="Cmsor2"/>
        <w:jc w:val="both"/>
      </w:pPr>
      <w:bookmarkStart w:id="3" w:name="_Toc167702763"/>
      <w:r>
        <w:t>1.2 The Place of Deliverable 1.1.2 in the Organisational Structure of Digi4Care</w:t>
      </w:r>
      <w:bookmarkEnd w:id="3"/>
    </w:p>
    <w:p w14:paraId="00000028" w14:textId="6EB45875" w:rsidR="00CF2104" w:rsidRDefault="002D2970">
      <w:pPr>
        <w:jc w:val="both"/>
      </w:pPr>
      <w:r>
        <w:rPr>
          <w:noProof/>
          <w:lang w:val="hu-HU"/>
        </w:rPr>
        <w:drawing>
          <wp:anchor distT="0" distB="0" distL="114300" distR="114300" simplePos="0" relativeHeight="251680768" behindDoc="0" locked="0" layoutInCell="1" allowOverlap="1" wp14:anchorId="75972BF5" wp14:editId="087A1BF5">
            <wp:simplePos x="0" y="0"/>
            <wp:positionH relativeFrom="margin">
              <wp:posOffset>2198164</wp:posOffset>
            </wp:positionH>
            <wp:positionV relativeFrom="paragraph">
              <wp:posOffset>562097</wp:posOffset>
            </wp:positionV>
            <wp:extent cx="3479800" cy="2771775"/>
            <wp:effectExtent l="0" t="0" r="6350" b="9525"/>
            <wp:wrapSquare wrapText="bothSides"/>
            <wp:docPr id="671940594" name="Kép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940594" name="Kép 671940594"/>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479800" cy="2771775"/>
                    </a:xfrm>
                    <a:prstGeom prst="rect">
                      <a:avLst/>
                    </a:prstGeom>
                  </pic:spPr>
                </pic:pic>
              </a:graphicData>
            </a:graphic>
            <wp14:sizeRelH relativeFrom="page">
              <wp14:pctWidth>0</wp14:pctWidth>
            </wp14:sizeRelH>
            <wp14:sizeRelV relativeFrom="page">
              <wp14:pctHeight>0</wp14:pctHeight>
            </wp14:sizeRelV>
          </wp:anchor>
        </w:drawing>
      </w:r>
      <w:r>
        <w:rPr>
          <w:noProof/>
          <w:lang w:val="hu-HU"/>
        </w:rPr>
        <mc:AlternateContent>
          <mc:Choice Requires="wps">
            <w:drawing>
              <wp:anchor distT="0" distB="0" distL="114300" distR="114300" simplePos="0" relativeHeight="251682816" behindDoc="0" locked="0" layoutInCell="1" allowOverlap="1" wp14:anchorId="7E98B4D5" wp14:editId="7AAC4A03">
                <wp:simplePos x="0" y="0"/>
                <wp:positionH relativeFrom="column">
                  <wp:posOffset>2203450</wp:posOffset>
                </wp:positionH>
                <wp:positionV relativeFrom="paragraph">
                  <wp:posOffset>3547110</wp:posOffset>
                </wp:positionV>
                <wp:extent cx="3479800" cy="635"/>
                <wp:effectExtent l="0" t="0" r="0" b="0"/>
                <wp:wrapSquare wrapText="bothSides"/>
                <wp:docPr id="2025468716" name="Szövegdoboz 1"/>
                <wp:cNvGraphicFramePr/>
                <a:graphic xmlns:a="http://schemas.openxmlformats.org/drawingml/2006/main">
                  <a:graphicData uri="http://schemas.microsoft.com/office/word/2010/wordprocessingShape">
                    <wps:wsp>
                      <wps:cNvSpPr txBox="1"/>
                      <wps:spPr>
                        <a:xfrm>
                          <a:off x="0" y="0"/>
                          <a:ext cx="3479800" cy="635"/>
                        </a:xfrm>
                        <a:prstGeom prst="rect">
                          <a:avLst/>
                        </a:prstGeom>
                        <a:solidFill>
                          <a:prstClr val="white"/>
                        </a:solidFill>
                        <a:ln>
                          <a:noFill/>
                        </a:ln>
                      </wps:spPr>
                      <wps:txbx>
                        <w:txbxContent>
                          <w:p w14:paraId="331765F1" w14:textId="367F0EAC" w:rsidR="009571FD" w:rsidRPr="002D2970" w:rsidRDefault="009571FD" w:rsidP="002D2970">
                            <w:pPr>
                              <w:pStyle w:val="Kpalrs"/>
                              <w:rPr>
                                <w:noProof/>
                                <w:lang w:val="hu-HU"/>
                              </w:rPr>
                            </w:pPr>
                            <w:r w:rsidRPr="002D2970">
                              <w:rPr>
                                <w:b/>
                                <w:bCs/>
                                <w:noProof/>
                                <w:lang w:val="hu-HU"/>
                              </w:rPr>
                              <w:t>Figure 1.</w:t>
                            </w:r>
                            <w:r>
                              <w:rPr>
                                <w:noProof/>
                                <w:lang w:val="hu-HU"/>
                              </w:rPr>
                              <w:t xml:space="preserve"> </w:t>
                            </w:r>
                            <w:r>
                              <w:t>The Place of Deliverable 1.1.2 in the Organisational Structure of Digi4Care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type w14:anchorId="7E98B4D5" id="_x0000_t202" coordsize="21600,21600" o:spt="202" path="m,l,21600r21600,l21600,xe">
                <v:stroke joinstyle="miter"/>
                <v:path gradientshapeok="t" o:connecttype="rect"/>
              </v:shapetype>
              <v:shape id="Szövegdoboz 1" o:spid="_x0000_s1028" type="#_x0000_t202" style="position:absolute;left:0;text-align:left;margin-left:173.5pt;margin-top:279.3pt;width:274pt;height:.05pt;z-index:251682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AKeGgIAAD8EAAAOAAAAZHJzL2Uyb0RvYy54bWysU8Fu2zAMvQ/YPwi6L07SreuMOEWWIsOA&#10;oi2QDj0rshwLkEWNUmJnXz9KtpOt22nYRaZJihTfe1zcdo1hR4Vegy34bDLlTFkJpbb7gn973ry7&#10;4cwHYUthwKqCn5Tnt8u3bxaty9UcajClQkZFrM9bV/A6BJdnmZe1aoSfgFOWghVgIwL94j4rUbRU&#10;vTHZfDq9zlrA0iFI5T157/ogX6b6VaVkeKwqrwIzBae3hXRiOnfxzJYLke9RuFrL4RniH17RCG2p&#10;6bnUnQiCHVD/UarREsFDFSYSmgyqSkuVZqBpZtNX02xr4VSahcDx7gyT/39l5cNx656Qhe4zdERg&#10;BKR1PvfkjPN0FTbxSy9lFCcIT2fYVBeYJOfV+4+fbqYUkhS7vvoQa2SXqw59+KKgYdEoOBInCSpx&#10;vPehTx1TYicPRpcbbUz8iYG1QXYUxF9b66CG4r9lGRtzLcRbfcHoyS5zRCt0u47psuDzccYdlCca&#10;HaFXhXdyo6nfvfDhSSDJgEYiaYdHOioDbcFhsDirAX/8zR/ziR2KctaSrAruvx8EKs7MV0u8RQ2O&#10;Bo7GbjTsoVkDTTqjpXEymXQBgxnNCqF5IcWvYhcKCSupV8HDaK5DL27aGKlWq5RESnMi3Nutk7H0&#10;iOtz9yLQDawEIvMBRsGJ/BU5fW6ix60OgZBOzEVcexQHuEmliftho+Ia/Pqfsi57v/wJAAD//wMA&#10;UEsDBBQABgAIAAAAIQBQclpN4gAAAAsBAAAPAAAAZHJzL2Rvd25yZXYueG1sTI/BTsMwEETvSPyD&#10;tUhcUOtAkzSEOFVVwYFeKtJeuLmxGwfidRQ7bfh7Fi5w3NnRzJtiNdmOnfXgW4cC7ucRMI21Uy02&#10;Ag77l1kGzAeJSnYOtYAv7WFVXl8VMlfugm/6XIWGUQj6XAowIfQ557422ko/d71G+p3cYGWgc2i4&#10;GuSFwm3HH6Io5Va2SA1G9npjdP1ZjVbALn7fmbvx9Lxdx4vh9TBu0o+mEuL2Zlo/AQt6Cn9m+MEn&#10;dCiJ6ehGVJ51AhbxkrYEAUmSpcDIkT0mpBx/lSXwsuD/N5TfAAAA//8DAFBLAQItABQABgAIAAAA&#10;IQC2gziS/gAAAOEBAAATAAAAAAAAAAAAAAAAAAAAAABbQ29udGVudF9UeXBlc10ueG1sUEsBAi0A&#10;FAAGAAgAAAAhADj9If/WAAAAlAEAAAsAAAAAAAAAAAAAAAAALwEAAF9yZWxzLy5yZWxzUEsBAi0A&#10;FAAGAAgAAAAhAAkYAp4aAgAAPwQAAA4AAAAAAAAAAAAAAAAALgIAAGRycy9lMm9Eb2MueG1sUEsB&#10;Ai0AFAAGAAgAAAAhAFByWk3iAAAACwEAAA8AAAAAAAAAAAAAAAAAdAQAAGRycy9kb3ducmV2Lnht&#10;bFBLBQYAAAAABAAEAPMAAACDBQAAAAA=&#10;" stroked="f">
                <v:textbox style="mso-fit-shape-to-text:t" inset="0,0,0,0">
                  <w:txbxContent>
                    <w:p w14:paraId="331765F1" w14:textId="367F0EAC" w:rsidR="009571FD" w:rsidRPr="002D2970" w:rsidRDefault="009571FD" w:rsidP="002D2970">
                      <w:pPr>
                        <w:pStyle w:val="Kpalrs"/>
                        <w:rPr>
                          <w:noProof/>
                          <w:lang w:val="hu-HU"/>
                        </w:rPr>
                      </w:pPr>
                      <w:r w:rsidRPr="002D2970">
                        <w:rPr>
                          <w:b/>
                          <w:bCs/>
                          <w:noProof/>
                          <w:lang w:val="hu-HU"/>
                        </w:rPr>
                        <w:t>Figure 1.</w:t>
                      </w:r>
                      <w:r>
                        <w:rPr>
                          <w:noProof/>
                          <w:lang w:val="hu-HU"/>
                        </w:rPr>
                        <w:t xml:space="preserve"> </w:t>
                      </w:r>
                      <w:r>
                        <w:t>The Place of Deliverable 1.1.2 in the Organisational Structure of Digi4Care</w:t>
                      </w:r>
                    </w:p>
                  </w:txbxContent>
                </v:textbox>
                <w10:wrap type="square"/>
              </v:shape>
            </w:pict>
          </mc:Fallback>
        </mc:AlternateContent>
      </w:r>
      <w:r w:rsidR="00CB5E95">
        <w:t xml:space="preserve">In these terms, the present deliverable constitutes a step on the roadmap of Activity 1.1, the first activity in the pursuit of Special Objective 1, </w:t>
      </w:r>
      <w:r w:rsidR="00CB5E95">
        <w:rPr>
          <w:i/>
        </w:rPr>
        <w:t>(Enabling the uptake of digital solutions in healthcare, from prevention to rehabilitation)</w:t>
      </w:r>
      <w:r w:rsidR="00CB5E95">
        <w:t xml:space="preserve">. In the framework of this specific objective, Activity 1.1 is set out to elicit the experience and appraisal of project partners regarding the maturity of digital health in their national or regional context. In particular, it aims to assess bottlenecks and identify good practices in identified focus areas relevant to the introduction of digital solutions into healthcare systems. The roadmap to achieving this aim and </w:t>
      </w:r>
      <w:r w:rsidR="00CB5E95">
        <w:lastRenderedPageBreak/>
        <w:t>completing this activity consists of four deliverables (for a visual summary, see Figure 1).</w:t>
      </w:r>
      <w:r w:rsidR="00CB5E95">
        <w:rPr>
          <w:noProof/>
          <w:lang w:val="hu-HU"/>
        </w:rPr>
        <mc:AlternateContent>
          <mc:Choice Requires="wps">
            <w:drawing>
              <wp:anchor distT="0" distB="0" distL="114300" distR="114300" simplePos="0" relativeHeight="251663360" behindDoc="0" locked="0" layoutInCell="1" hidden="0" allowOverlap="1" wp14:anchorId="6DFCE430" wp14:editId="18F4F39B">
                <wp:simplePos x="0" y="0"/>
                <wp:positionH relativeFrom="column">
                  <wp:posOffset>1930400</wp:posOffset>
                </wp:positionH>
                <wp:positionV relativeFrom="paragraph">
                  <wp:posOffset>3632200</wp:posOffset>
                </wp:positionV>
                <wp:extent cx="635" cy="12700"/>
                <wp:effectExtent l="0" t="0" r="0" b="0"/>
                <wp:wrapSquare wrapText="bothSides" distT="0" distB="0" distL="114300" distR="114300"/>
                <wp:docPr id="933291786" name="Téglalap 933291786"/>
                <wp:cNvGraphicFramePr/>
                <a:graphic xmlns:a="http://schemas.openxmlformats.org/drawingml/2006/main">
                  <a:graphicData uri="http://schemas.microsoft.com/office/word/2010/wordprocessingShape">
                    <wps:wsp>
                      <wps:cNvSpPr/>
                      <wps:spPr>
                        <a:xfrm>
                          <a:off x="3476878" y="3779683"/>
                          <a:ext cx="3738245" cy="635"/>
                        </a:xfrm>
                        <a:prstGeom prst="rect">
                          <a:avLst/>
                        </a:prstGeom>
                        <a:solidFill>
                          <a:srgbClr val="FFFFFF"/>
                        </a:solidFill>
                        <a:ln>
                          <a:noFill/>
                        </a:ln>
                      </wps:spPr>
                      <wps:txbx>
                        <w:txbxContent>
                          <w:p w14:paraId="76406ECE" w14:textId="77777777" w:rsidR="009571FD" w:rsidRDefault="009571FD">
                            <w:pPr>
                              <w:spacing w:after="200" w:line="240" w:lineRule="auto"/>
                              <w:textDirection w:val="btLr"/>
                            </w:pPr>
                            <w:r>
                              <w:rPr>
                                <w:rFonts w:ascii="Arial" w:eastAsia="Arial" w:hAnsi="Arial" w:cs="Arial"/>
                                <w:i/>
                                <w:color w:val="44546A"/>
                                <w:sz w:val="18"/>
                              </w:rPr>
                              <w:t>Figure 1. The Place of Deliverable 1.1.2 in the Organisational Structure of Digi4Care</w:t>
                            </w:r>
                          </w:p>
                        </w:txbxContent>
                      </wps:txbx>
                      <wps:bodyPr spcFirstLastPara="1" wrap="square" lIns="0" tIns="0" rIns="0" bIns="0" anchor="t" anchorCtr="0">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rect w14:anchorId="6DFCE430" id="Téglalap 933291786" o:spid="_x0000_s1029" style="position:absolute;left:0;text-align:left;margin-left:152pt;margin-top:286pt;width:.05pt;height:1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GhUxgEAAHcDAAAOAAAAZHJzL2Uyb0RvYy54bWysU9uO2yAQfa/Uf0C8N85lN0mtOKtqV6kq&#10;rdpIu/0AjCFGwkBnSOz8fQecbHp5q+qH8QHGhzMzx5uHobPspACNdxWfTaacKSd9Y9yh4t9fdx/W&#10;nGEUrhHWO1Xxs0L+sH3/btOHUs19622jgBGJw7IPFW9jDGVRoGxVJ3Dig3J0qD10ItISDkUDoif2&#10;zhbz6XRZ9B6aAF4qRNp9Gg/5NvNrrWT8pjWqyGzFSVvMEXKsUyy2G1EeQITWyIsM8Q8qOmEcXfpG&#10;9SSiYEcwf1F1RoJHr+NE+q7wWhupcg1UzWz6RzUvrQgq10LNwfDWJvx/tPLr6SXsgdrQByyRYKpi&#10;0NClN+ljQ8UXd6vlekWTPBNerT4u14uxcWqITKaE1WI9v7vnTFLGcnGfTosbTQCMn5XvWAIVB5pK&#10;bpY4PWMcU68p6Vb01jQ7Y21ewKF+tMBOgia4y8+F/bc061Ky8+mzkTHtFLeiEopDPTDTkN5EkXZq&#10;35z3wDDInSFtzwLjXgA5YMZZT66oOP44ClCc2S+O2p4sdAVwBfUVCCdbT+aKnI3wMWarjdI+HaPX&#10;Jtd7u/qikaabO3ZxYrLPr+ucdftftj8BAAD//wMAUEsDBBQABgAIAAAAIQD5RE8X2gAAAAsBAAAP&#10;AAAAZHJzL2Rvd25yZXYueG1sTE/LTsMwELwj8Q/WInGjTsqrCnEqxEM9E0C9uvESB+x1FDut4evZ&#10;nuC289DsTL3O3ok9TnEIpKBcFCCQumAG6hW8vT5frEDEpMloFwgVfGOEdXN6UuvKhAO94L5NveAQ&#10;ipVWYFMaKyljZ9HruAgjEmsfYfI6MZx6aSZ94HDv5LIobqTXA/EHq0d8sNh9tbNXsCkfn8ZP+dPq&#10;jUs4v9vcuW1W6vws39+BSJjTnxmO9bk6NNxpF2YyUTgFl8UVb0kKrm+XfLCDmRLE7siwJJta/t/Q&#10;/AIAAP//AwBQSwECLQAUAAYACAAAACEAtoM4kv4AAADhAQAAEwAAAAAAAAAAAAAAAAAAAAAAW0Nv&#10;bnRlbnRfVHlwZXNdLnhtbFBLAQItABQABgAIAAAAIQA4/SH/1gAAAJQBAAALAAAAAAAAAAAAAAAA&#10;AC8BAABfcmVscy8ucmVsc1BLAQItABQABgAIAAAAIQDmeGhUxgEAAHcDAAAOAAAAAAAAAAAAAAAA&#10;AC4CAABkcnMvZTJvRG9jLnhtbFBLAQItABQABgAIAAAAIQD5RE8X2gAAAAsBAAAPAAAAAAAAAAAA&#10;AAAAACAEAABkcnMvZG93bnJldi54bWxQSwUGAAAAAAQABADzAAAAJwUAAAAA&#10;" stroked="f">
                <v:textbox inset="0,0,0,0">
                  <w:txbxContent>
                    <w:p w14:paraId="76406ECE" w14:textId="77777777" w:rsidR="009571FD" w:rsidRDefault="009571FD">
                      <w:pPr>
                        <w:spacing w:after="200" w:line="240" w:lineRule="auto"/>
                        <w:textDirection w:val="btLr"/>
                      </w:pPr>
                      <w:r>
                        <w:rPr>
                          <w:rFonts w:ascii="Arial" w:eastAsia="Arial" w:hAnsi="Arial" w:cs="Arial"/>
                          <w:i/>
                          <w:color w:val="44546A"/>
                          <w:sz w:val="18"/>
                        </w:rPr>
                        <w:t>Figure 1. The Place of Deliverable 1.1.2 in the Organisational Structure of Digi4Care</w:t>
                      </w:r>
                    </w:p>
                  </w:txbxContent>
                </v:textbox>
                <w10:wrap type="square"/>
              </v:rect>
            </w:pict>
          </mc:Fallback>
        </mc:AlternateContent>
      </w:r>
    </w:p>
    <w:p w14:paraId="00000029" w14:textId="08AAD2E7" w:rsidR="00CF2104" w:rsidRDefault="00CB5E95">
      <w:pPr>
        <w:jc w:val="both"/>
      </w:pPr>
      <w:r>
        <w:t xml:space="preserve">The present document is part of the second deliverable in this sequence, </w:t>
      </w:r>
      <w:r>
        <w:rPr>
          <w:b/>
          <w:i/>
        </w:rPr>
        <w:t>D.1.1.2, Joint thematic and Methodology Frames</w:t>
      </w:r>
      <w:r>
        <w:t>. The aim of this deliverable is to offer a tool for project partners to perform a local analysis. In other words, it facilitates a structured evaluation - based on the perception of project partners - of the maturity of national or regional contexts with respect to the introduction and use of digital health solutions.</w:t>
      </w:r>
      <w:r w:rsidR="002D2970" w:rsidRPr="002D2970">
        <w:rPr>
          <w:noProof/>
          <w:lang w:val="hu-HU"/>
        </w:rPr>
        <w:t xml:space="preserve"> </w:t>
      </w:r>
    </w:p>
    <w:p w14:paraId="6475F4AA" w14:textId="17DF304E" w:rsidR="001D3E57" w:rsidRDefault="00C70523">
      <w:pPr>
        <w:jc w:val="both"/>
      </w:pPr>
      <w:r>
        <w:rPr>
          <w:noProof/>
          <w:lang w:val="hu-HU"/>
        </w:rPr>
        <mc:AlternateContent>
          <mc:Choice Requires="wps">
            <w:drawing>
              <wp:anchor distT="0" distB="0" distL="114300" distR="114300" simplePos="0" relativeHeight="251684864" behindDoc="0" locked="0" layoutInCell="1" allowOverlap="1" wp14:anchorId="5718EFE7" wp14:editId="0DD80E50">
                <wp:simplePos x="0" y="0"/>
                <wp:positionH relativeFrom="margin">
                  <wp:posOffset>40846</wp:posOffset>
                </wp:positionH>
                <wp:positionV relativeFrom="paragraph">
                  <wp:posOffset>2751455</wp:posOffset>
                </wp:positionV>
                <wp:extent cx="5740400" cy="635"/>
                <wp:effectExtent l="0" t="0" r="0" b="0"/>
                <wp:wrapTopAndBottom/>
                <wp:docPr id="820001400" name="Szövegdoboz 1"/>
                <wp:cNvGraphicFramePr/>
                <a:graphic xmlns:a="http://schemas.openxmlformats.org/drawingml/2006/main">
                  <a:graphicData uri="http://schemas.microsoft.com/office/word/2010/wordprocessingShape">
                    <wps:wsp>
                      <wps:cNvSpPr txBox="1"/>
                      <wps:spPr>
                        <a:xfrm>
                          <a:off x="0" y="0"/>
                          <a:ext cx="5740400" cy="635"/>
                        </a:xfrm>
                        <a:prstGeom prst="rect">
                          <a:avLst/>
                        </a:prstGeom>
                        <a:solidFill>
                          <a:prstClr val="white"/>
                        </a:solidFill>
                        <a:ln>
                          <a:noFill/>
                        </a:ln>
                      </wps:spPr>
                      <wps:txbx>
                        <w:txbxContent>
                          <w:p w14:paraId="11163446" w14:textId="0072AA86" w:rsidR="009571FD" w:rsidRPr="00C70523" w:rsidRDefault="009571FD" w:rsidP="00C70523">
                            <w:pPr>
                              <w:pStyle w:val="Kpalrs"/>
                              <w:rPr>
                                <w:noProof/>
                                <w:lang w:val="hu-HU"/>
                              </w:rPr>
                            </w:pPr>
                            <w:r w:rsidRPr="00C70523">
                              <w:rPr>
                                <w:b/>
                                <w:bCs/>
                                <w:noProof/>
                                <w:lang w:val="hu-HU"/>
                              </w:rPr>
                              <w:t>Figure 2.</w:t>
                            </w:r>
                            <w:r>
                              <w:rPr>
                                <w:noProof/>
                                <w:lang w:val="hu-HU"/>
                              </w:rPr>
                              <w:t xml:space="preserve"> The </w:t>
                            </w:r>
                            <w:r w:rsidRPr="00C70523">
                              <w:rPr>
                                <w:noProof/>
                                <w:lang w:val="hu-HU"/>
                              </w:rPr>
                              <w:t>key dimensions of common interest</w:t>
                            </w:r>
                            <w:r>
                              <w:rPr>
                                <w:noProof/>
                                <w:lang w:val="hu-HU"/>
                              </w:rPr>
                              <w:t xml:space="preserve"> identified by Deliverable 1.1.1</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5718EFE7" id="_x0000_s1030" type="#_x0000_t202" style="position:absolute;left:0;text-align:left;margin-left:3.2pt;margin-top:216.65pt;width:452pt;height:.05pt;z-index:25168486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VVGgIAAD8EAAAOAAAAZHJzL2Uyb0RvYy54bWysU8Fu2zAMvQ/YPwi6L3a6tCuMOEWWIsOA&#10;oi2QDj0rshwLkEWNUmJnXz9KjpOt22nYRaZJihTfe5zf9a1hB4Vegy35dJJzpqyESttdyb+9rD/c&#10;cuaDsJUwYFXJj8rzu8X7d/POFeoKGjCVQkZFrC86V/ImBFdkmZeNaoWfgFOWgjVgKwL94i6rUHRU&#10;vTXZVZ7fZB1g5RCk8p6890OQL1L9ulYyPNW1V4GZktPbQjoxndt4Zou5KHYoXKPl6RniH17RCm2p&#10;6bnUvQiC7VH/UarVEsFDHSYS2gzqWkuVZqBppvmbaTaNcCrNQuB4d4bJ/7+y8vGwcc/IQv8ZeiIw&#10;AtI5X3hyxnn6Gtv4pZcyihOExzNsqg9MkvP60yyf5RSSFLv5eB1rZJerDn34oqBl0Sg5EicJKnF4&#10;8GFIHVNiJw9GV2ttTPyJgZVBdhDEX9fooE7Ff8syNuZaiLeGgtGTXeaIVui3PdNVyWfjjFuojjQ6&#10;wqAK7+RaU78H4cOzQJIBjUTSDk901Aa6ksPJ4qwB/PE3f8wndijKWUeyKrn/vheoODNfLfEWNTga&#10;OBrb0bD7dgU06ZSWxslk0gUMZjRrhPaVFL+MXSgkrKReJQ+juQqDuGljpFouUxIpzYnwYDdOxtIj&#10;ri/9q0B3YiUQmY8wCk4Ub8gZchM9brkPhHRiLuI6oHiCm1SauD9tVFyDX/9T1mXvFz8BAAD//wMA&#10;UEsDBBQABgAIAAAAIQDxb1Pj3wAAAAkBAAAPAAAAZHJzL2Rvd25yZXYueG1sTI/BTsMwEETvSPyD&#10;tUhcEHVKrAhCnKqq4ACXqqEXbm68jQPxOrKdNvw9hgscd2Y0+6ZazXZgJ/ShdyRhuciAIbVO99RJ&#10;2L89394DC1GRVoMjlPCFAVb15UWlSu3OtMNTEzuWSiiUSoKJcSw5D61Bq8LCjUjJOzpvVUyn77j2&#10;6pzK7cDvsqzgVvWUPhg14sZg+9lMVsJWvG/NzXR8el2L3L/sp03x0TVSXl/N60dgEef4F4Yf/IQO&#10;dWI6uIl0YIOEQqSgBJHnObDkPyyzpBx+FQG8rvj/BfU3AAAA//8DAFBLAQItABQABgAIAAAAIQC2&#10;gziS/gAAAOEBAAATAAAAAAAAAAAAAAAAAAAAAABbQ29udGVudF9UeXBlc10ueG1sUEsBAi0AFAAG&#10;AAgAAAAhADj9If/WAAAAlAEAAAsAAAAAAAAAAAAAAAAALwEAAF9yZWxzLy5yZWxzUEsBAi0AFAAG&#10;AAgAAAAhADCT5VUaAgAAPwQAAA4AAAAAAAAAAAAAAAAALgIAAGRycy9lMm9Eb2MueG1sUEsBAi0A&#10;FAAGAAgAAAAhAPFvU+PfAAAACQEAAA8AAAAAAAAAAAAAAAAAdAQAAGRycy9kb3ducmV2LnhtbFBL&#10;BQYAAAAABAAEAPMAAACABQAAAAA=&#10;" stroked="f">
                <v:textbox style="mso-fit-shape-to-text:t" inset="0,0,0,0">
                  <w:txbxContent>
                    <w:p w14:paraId="11163446" w14:textId="0072AA86" w:rsidR="009571FD" w:rsidRPr="00C70523" w:rsidRDefault="009571FD" w:rsidP="00C70523">
                      <w:pPr>
                        <w:pStyle w:val="Kpalrs"/>
                        <w:rPr>
                          <w:noProof/>
                          <w:lang w:val="hu-HU"/>
                        </w:rPr>
                      </w:pPr>
                      <w:r w:rsidRPr="00C70523">
                        <w:rPr>
                          <w:b/>
                          <w:bCs/>
                          <w:noProof/>
                          <w:lang w:val="hu-HU"/>
                        </w:rPr>
                        <w:t>Figure 2.</w:t>
                      </w:r>
                      <w:r>
                        <w:rPr>
                          <w:noProof/>
                          <w:lang w:val="hu-HU"/>
                        </w:rPr>
                        <w:t xml:space="preserve"> The </w:t>
                      </w:r>
                      <w:r w:rsidRPr="00C70523">
                        <w:rPr>
                          <w:noProof/>
                          <w:lang w:val="hu-HU"/>
                        </w:rPr>
                        <w:t>key dimensions of common interest</w:t>
                      </w:r>
                      <w:r>
                        <w:rPr>
                          <w:noProof/>
                          <w:lang w:val="hu-HU"/>
                        </w:rPr>
                        <w:t xml:space="preserve"> identified by Deliverable 1.1.1</w:t>
                      </w:r>
                    </w:p>
                  </w:txbxContent>
                </v:textbox>
                <w10:wrap type="topAndBottom" anchorx="margin"/>
              </v:shape>
            </w:pict>
          </mc:Fallback>
        </mc:AlternateContent>
      </w:r>
      <w:r>
        <w:rPr>
          <w:noProof/>
          <w:lang w:val="hu-HU"/>
        </w:rPr>
        <mc:AlternateContent>
          <mc:Choice Requires="wps">
            <w:drawing>
              <wp:anchor distT="45720" distB="45720" distL="114300" distR="114300" simplePos="0" relativeHeight="251677696" behindDoc="0" locked="0" layoutInCell="1" hidden="0" allowOverlap="1" wp14:anchorId="72A113A3" wp14:editId="02ADC3EC">
                <wp:simplePos x="0" y="0"/>
                <wp:positionH relativeFrom="margin">
                  <wp:posOffset>35593</wp:posOffset>
                </wp:positionH>
                <wp:positionV relativeFrom="paragraph">
                  <wp:posOffset>1373651</wp:posOffset>
                </wp:positionV>
                <wp:extent cx="5740400" cy="1336675"/>
                <wp:effectExtent l="0" t="0" r="12700" b="15875"/>
                <wp:wrapTopAndBottom/>
                <wp:docPr id="933291785" name="Téglalap 933291785"/>
                <wp:cNvGraphicFramePr/>
                <a:graphic xmlns:a="http://schemas.openxmlformats.org/drawingml/2006/main">
                  <a:graphicData uri="http://schemas.microsoft.com/office/word/2010/wordprocessingShape">
                    <wps:wsp>
                      <wps:cNvSpPr/>
                      <wps:spPr>
                        <a:xfrm>
                          <a:off x="0" y="0"/>
                          <a:ext cx="5740400" cy="13366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30C242EA"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Technology Assessment</w:t>
                            </w:r>
                          </w:p>
                          <w:p w14:paraId="278DE0BA"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Financing models</w:t>
                            </w:r>
                          </w:p>
                          <w:p w14:paraId="08F3119F"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Data Management (privacy, security, interoperability, consent process)</w:t>
                            </w:r>
                          </w:p>
                          <w:p w14:paraId="6FF7B043"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Ethical considerations and consent in data management</w:t>
                            </w:r>
                          </w:p>
                          <w:p w14:paraId="0C3200B1"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Regulatory barriers</w:t>
                            </w:r>
                          </w:p>
                          <w:p w14:paraId="75512DA3"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Care pathways</w:t>
                            </w:r>
                          </w:p>
                          <w:p w14:paraId="4650ADEA"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HCP workflow and skills</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rect w14:anchorId="72A113A3" id="Téglalap 933291785" o:spid="_x0000_s1031" style="position:absolute;left:0;text-align:left;margin-left:2.8pt;margin-top:108.15pt;width:452pt;height:105.25pt;z-index:2516776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QddFQIAAEcEAAAOAAAAZHJzL2Uyb0RvYy54bWysU9uO2jAQfa/Uf7D8XhJYLrsRYVUtpaq0&#10;apG2/YDBcYgl3+oxEP6+Y0OBbStVqpoHZ2yPz5w5MzN/7I1mexlQOVvz4aDkTFrhGmW3Nf/2dfXu&#10;njOMYBvQzsqaHyXyx8XbN/ODr+TIdU43MjACsVgdfM27GH1VFCg6aQAHzktLl60LBiJtw7ZoAhwI&#10;3ehiVJbT4uBC44MTEpFOl6dLvsj4bStF/NK2KCPTNSduMa8hr5u0Fos5VNsAvlPiTAP+gYUBZSno&#10;BWoJEdguqN+gjBLBoWvjQDhTuLZVQuYcKJth+Us2Lx14mXMhcdBfZML/Bys+71/8OpAMB48Vkpmy&#10;6Ntg0p/4sT6LdbyIJfvIBB1OZuNyXJKmgu6Gd3fT6WyS5Cyuz33A+FE6w5JR80DVyCLB/hnjyfWn&#10;S4qGTqtmpbTOm7DdPOnA9kCVW+XvjP7KTVt2qPnDZDQhIkAN1GqIZBrf1BztNsd79QJvgcv8/Qk4&#10;EVsCdicCGSG5QWVUpI7VytT8/vIaqk5C88E2LB49tbmlZueJGRrOtKTRICM/j6D03/1IRG1Jy2tR&#10;khX7Tc8UJZaFTicb1xzXgaEXK0WEnwHjGgJ18JCiU1dT3O87CMRFf7LUNg/DcVIq5s14Mkv1C7c3&#10;m9sbsKJzNCwk6Ml8inl0kgzWvd9F16pcxyuVM2fq1twJ58lK43C7z17X+V/8AAAA//8DAFBLAwQU&#10;AAYACAAAACEAWg83R90AAAAJAQAADwAAAGRycy9kb3ducmV2LnhtbEyPzU7DMBCE70i8g7VIXBB1&#10;mkJoQzYVROIIEikP4MZLEmGvo9j54e0xJzjOzmjm2+K4WiNmGn3vGGG7SUAQN0733CJ8nF5u9yB8&#10;UKyVcUwI3+ThWF5eFCrXbuF3muvQiljCPlcIXQhDLqVvOrLKb9xAHL1PN1oVohxbqUe1xHJrZJok&#10;mbSq57jQqYGqjpqverIIJ7/rKzL1g5/n+vW5mm7sot4Qr6/Wp0cQgdbwF4Zf/IgOZWQ6u4m1Fwbh&#10;PotBhHSb7UBE/5Ac4uWMcJdme5BlIf9/UP4AAAD//wMAUEsBAi0AFAAGAAgAAAAhALaDOJL+AAAA&#10;4QEAABMAAAAAAAAAAAAAAAAAAAAAAFtDb250ZW50X1R5cGVzXS54bWxQSwECLQAUAAYACAAAACEA&#10;OP0h/9YAAACUAQAACwAAAAAAAAAAAAAAAAAvAQAAX3JlbHMvLnJlbHNQSwECLQAUAAYACAAAACEA&#10;onkHXRUCAABHBAAADgAAAAAAAAAAAAAAAAAuAgAAZHJzL2Uyb0RvYy54bWxQSwECLQAUAAYACAAA&#10;ACEAWg83R90AAAAJAQAADwAAAAAAAAAAAAAAAABvBAAAZHJzL2Rvd25yZXYueG1sUEsFBgAAAAAE&#10;AAQA8wAAAHkFAAAAAA==&#10;">
                <v:stroke startarrowwidth="narrow" startarrowlength="short" endarrowwidth="narrow" endarrowlength="short"/>
                <v:textbox inset="2.53958mm,1.2694mm,2.53958mm,1.2694mm">
                  <w:txbxContent>
                    <w:p w14:paraId="30C242EA"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Technology Assessment</w:t>
                      </w:r>
                    </w:p>
                    <w:p w14:paraId="278DE0BA"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Financing models</w:t>
                      </w:r>
                    </w:p>
                    <w:p w14:paraId="08F3119F"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Data Management (privacy, security, interoperability, consent process)</w:t>
                      </w:r>
                    </w:p>
                    <w:p w14:paraId="6FF7B043"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Ethical considerations and consent in data management</w:t>
                      </w:r>
                    </w:p>
                    <w:p w14:paraId="0C3200B1"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Regulatory barriers</w:t>
                      </w:r>
                    </w:p>
                    <w:p w14:paraId="75512DA3"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Care pathways</w:t>
                      </w:r>
                    </w:p>
                    <w:p w14:paraId="4650ADEA" w14:textId="77777777" w:rsidR="009571FD" w:rsidRDefault="009571FD" w:rsidP="001D3E57">
                      <w:pPr>
                        <w:pStyle w:val="Listaszerbekezds"/>
                        <w:numPr>
                          <w:ilvl w:val="0"/>
                          <w:numId w:val="19"/>
                        </w:numPr>
                        <w:spacing w:after="0" w:line="240" w:lineRule="auto"/>
                        <w:textDirection w:val="btLr"/>
                      </w:pPr>
                      <w:r w:rsidRPr="001D3E57">
                        <w:rPr>
                          <w:rFonts w:ascii="Arial" w:eastAsia="Arial" w:hAnsi="Arial" w:cs="Arial"/>
                          <w:color w:val="000000"/>
                          <w:sz w:val="20"/>
                        </w:rPr>
                        <w:t>HCP workflow and skills</w:t>
                      </w:r>
                    </w:p>
                  </w:txbxContent>
                </v:textbox>
                <w10:wrap type="topAndBottom" anchorx="margin"/>
              </v:rect>
            </w:pict>
          </mc:Fallback>
        </mc:AlternateContent>
      </w:r>
      <w:r w:rsidR="00CB5E95">
        <w:t xml:space="preserve">In the elaboration of this tool, (preliminary) findings from the first deliverable </w:t>
      </w:r>
      <w:r w:rsidR="00CB5E95">
        <w:rPr>
          <w:b/>
        </w:rPr>
        <w:t>(</w:t>
      </w:r>
      <w:r w:rsidR="00CB5E95">
        <w:rPr>
          <w:b/>
          <w:i/>
        </w:rPr>
        <w:t xml:space="preserve">D1.1.1 Summary of key dimensions of common interest) </w:t>
      </w:r>
      <w:r w:rsidR="00CB5E95">
        <w:t xml:space="preserve">have been actively considered and built upon. D1.1.1 summarises the key messages from two coordinated online workshops that explored dimensions of common interest concerning the facilitation of the uptake of digital technologies in healthcare (The identified dimensions are listed on Figure 2). </w:t>
      </w:r>
    </w:p>
    <w:p w14:paraId="0000002B" w14:textId="7AECE852" w:rsidR="00CF2104" w:rsidRDefault="00CB5E95">
      <w:pPr>
        <w:jc w:val="both"/>
      </w:pPr>
      <w:r>
        <w:t xml:space="preserve">Deliverable 1.1.2 in turn will give the framework for the completion of the third deliverable under Activity 1.1, the </w:t>
      </w:r>
      <w:r>
        <w:rPr>
          <w:b/>
          <w:i/>
        </w:rPr>
        <w:t>Local Partner Analyses (D1.1.3)</w:t>
      </w:r>
      <w:r>
        <w:t xml:space="preserve">. These will be co-created by partners of the same country (thus </w:t>
      </w:r>
      <w:r w:rsidR="00C70523">
        <w:t>producing</w:t>
      </w:r>
      <w:r>
        <w:t xml:space="preserve"> 8 analyses altogether). Through the systematised collection of project partner perceptions about the maturity of national or regional contexts with respect to the introduction and use of digital health, strengths, established good practices, </w:t>
      </w:r>
      <w:r w:rsidR="0017222E">
        <w:t>and</w:t>
      </w:r>
      <w:r>
        <w:t xml:space="preserve"> perspectives for improvement </w:t>
      </w:r>
      <w:r w:rsidR="0017222E">
        <w:t xml:space="preserve">(barriers) </w:t>
      </w:r>
      <w:r>
        <w:t>are going to be highlighted.</w:t>
      </w:r>
    </w:p>
    <w:p w14:paraId="0000002E" w14:textId="1A5BC811" w:rsidR="00CF2104" w:rsidRDefault="00CB5E95">
      <w:pPr>
        <w:jc w:val="both"/>
      </w:pPr>
      <w:bookmarkStart w:id="4" w:name="_heading=h.3znysh7" w:colFirst="0" w:colLast="0"/>
      <w:bookmarkEnd w:id="4"/>
      <w:r>
        <w:t xml:space="preserve">Then, as the fourth and final deliverable of Activity 1.1, the findings of local analyses are going to be presented and discussed at the upcoming </w:t>
      </w:r>
      <w:r>
        <w:rPr>
          <w:b/>
          <w:i/>
        </w:rPr>
        <w:t>Interregional Partner Meeting</w:t>
      </w:r>
      <w:r>
        <w:t xml:space="preserve"> </w:t>
      </w:r>
      <w:r>
        <w:rPr>
          <w:b/>
          <w:i/>
        </w:rPr>
        <w:t>(D1.1.4)</w:t>
      </w:r>
      <w:r>
        <w:t xml:space="preserve">, organised in Oradea, Romania. Highlighting strengths (established good practices), </w:t>
      </w:r>
      <w:r w:rsidR="0017222E">
        <w:t>a</w:t>
      </w:r>
      <w:r>
        <w:t xml:space="preserve">nd areas for improvement </w:t>
      </w:r>
      <w:r w:rsidR="0017222E">
        <w:t xml:space="preserve">(barriers) </w:t>
      </w:r>
      <w:r>
        <w:t>as part of the analysis process will facilitate partners’ appraisal of the context in which they plan to intervene, and leveraging this knowledge will help them in fine-tuning planned project activities. Pilot projects refined through this process can potentially produce knowledge and experience that may directly address the dimensions of common interest, providing input and good practices to foster the uptake of innovation and digital technologies in healthcare provision. This process is visualised on Figure 3.</w:t>
      </w:r>
    </w:p>
    <w:p w14:paraId="0000004D" w14:textId="77777777" w:rsidR="00CF2104" w:rsidRDefault="00CF2104">
      <w:pPr>
        <w:tabs>
          <w:tab w:val="left" w:pos="2000"/>
        </w:tabs>
        <w:jc w:val="both"/>
      </w:pPr>
    </w:p>
    <w:p w14:paraId="0F829AC4" w14:textId="2BA4E9EB" w:rsidR="009F735C" w:rsidRDefault="002200C2" w:rsidP="009F735C">
      <w:pPr>
        <w:keepNext/>
        <w:jc w:val="center"/>
      </w:pPr>
      <w:r w:rsidRPr="002200C2">
        <w:rPr>
          <w:noProof/>
          <w:lang w:val="hu-HU"/>
        </w:rPr>
        <w:lastRenderedPageBreak/>
        <w:drawing>
          <wp:inline distT="0" distB="0" distL="0" distR="0" wp14:anchorId="70AE964A" wp14:editId="4AA545D9">
            <wp:extent cx="4445228" cy="4064209"/>
            <wp:effectExtent l="0" t="0" r="0" b="0"/>
            <wp:docPr id="1074817329" name="Kép 1" descr="A képen szöveg, képernyőkép, szám, Betűtípus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4817329" name="Kép 1" descr="A képen szöveg, képernyőkép, szám, Betűtípus látható&#10;&#10;Automatikusan generált leírás"/>
                    <pic:cNvPicPr/>
                  </pic:nvPicPr>
                  <pic:blipFill>
                    <a:blip r:embed="rId15"/>
                    <a:stretch>
                      <a:fillRect/>
                    </a:stretch>
                  </pic:blipFill>
                  <pic:spPr>
                    <a:xfrm>
                      <a:off x="0" y="0"/>
                      <a:ext cx="4445228" cy="4064209"/>
                    </a:xfrm>
                    <a:prstGeom prst="rect">
                      <a:avLst/>
                    </a:prstGeom>
                  </pic:spPr>
                </pic:pic>
              </a:graphicData>
            </a:graphic>
          </wp:inline>
        </w:drawing>
      </w:r>
    </w:p>
    <w:p w14:paraId="6278C57C" w14:textId="7DBCCB7B" w:rsidR="009F735C" w:rsidRDefault="009F735C" w:rsidP="009F735C">
      <w:pPr>
        <w:pStyle w:val="Kpalrs"/>
        <w:jc w:val="center"/>
      </w:pPr>
      <w:r w:rsidRPr="009F735C">
        <w:rPr>
          <w:b/>
          <w:bCs/>
        </w:rPr>
        <w:t>Figure 3.</w:t>
      </w:r>
      <w:r>
        <w:t xml:space="preserve"> </w:t>
      </w:r>
      <w:r w:rsidRPr="009F735C">
        <w:t>The Place of the Joint Thematic and Methodology Frames in the narrative arc of Digi4Care</w:t>
      </w:r>
    </w:p>
    <w:p w14:paraId="0000004E" w14:textId="54634776" w:rsidR="00CF2104" w:rsidRDefault="00CB5E95" w:rsidP="002200C2">
      <w:pPr>
        <w:jc w:val="both"/>
      </w:pPr>
      <w:r>
        <w:t>Furthermore, findings from the local analyses are going to be fed into the the project’s transnational knowledge base and lasting cooperation frames, the first version of the Knowledge Platform and Radar, and ultimately, the building of the joint Danube-region level strategy.</w:t>
      </w:r>
    </w:p>
    <w:p w14:paraId="00000053" w14:textId="77777777" w:rsidR="00CF2104" w:rsidRDefault="00CB5E95">
      <w:pPr>
        <w:pStyle w:val="Cmsor1"/>
        <w:numPr>
          <w:ilvl w:val="0"/>
          <w:numId w:val="4"/>
        </w:numPr>
        <w:jc w:val="both"/>
      </w:pPr>
      <w:bookmarkStart w:id="5" w:name="_Toc167702764"/>
      <w:r>
        <w:t>Presentation of the sources of the questionnaire</w:t>
      </w:r>
      <w:bookmarkEnd w:id="5"/>
    </w:p>
    <w:p w14:paraId="32A1E7A1" w14:textId="05BD6405" w:rsidR="001866BC" w:rsidRDefault="001866BC" w:rsidP="001866BC">
      <w:pPr>
        <w:jc w:val="both"/>
      </w:pPr>
      <w:r>
        <w:t xml:space="preserve">When compiling the questionnaire, </w:t>
      </w:r>
      <w:r w:rsidR="006348D0">
        <w:t xml:space="preserve">firstly </w:t>
      </w:r>
      <w:r>
        <w:t xml:space="preserve">the methodological framework was defined, followed by the content. </w:t>
      </w:r>
      <w:r w:rsidR="006348D0">
        <w:t>To</w:t>
      </w:r>
      <w:r>
        <w:t xml:space="preserve"> </w:t>
      </w:r>
      <w:r w:rsidR="006348D0">
        <w:t xml:space="preserve">establish </w:t>
      </w:r>
      <w:r>
        <w:t xml:space="preserve">the context of the country or region subject to the local partner analysis, the first part of the questionnaire </w:t>
      </w:r>
      <w:r w:rsidR="006348D0">
        <w:t>collects a few basic</w:t>
      </w:r>
      <w:r>
        <w:t xml:space="preserve"> demographic and socioeconomic </w:t>
      </w:r>
      <w:r w:rsidR="006348D0">
        <w:t>indicators</w:t>
      </w:r>
      <w:r>
        <w:t xml:space="preserve">. </w:t>
      </w:r>
      <w:r w:rsidR="006348D0">
        <w:t xml:space="preserve">Indicators have been selected from </w:t>
      </w:r>
      <w:r>
        <w:t>the most recent series of Country Health Profiles</w:t>
      </w:r>
      <w:r w:rsidR="006348D0">
        <w:t xml:space="preserve"> (2023)</w:t>
      </w:r>
      <w:r>
        <w:t xml:space="preserve"> and the 2022 Health at a Glance report,</w:t>
      </w:r>
      <w:r>
        <w:rPr>
          <w:vertAlign w:val="superscript"/>
        </w:rPr>
        <w:footnoteReference w:id="1"/>
      </w:r>
      <w:r>
        <w:t xml:space="preserve"> both published by the OECD.</w:t>
      </w:r>
    </w:p>
    <w:p w14:paraId="083FDA9E" w14:textId="4F9623EC" w:rsidR="001866BC" w:rsidRDefault="001866BC" w:rsidP="001866BC">
      <w:pPr>
        <w:jc w:val="both"/>
        <w:rPr>
          <w:rFonts w:ascii="Arial" w:eastAsia="Arial" w:hAnsi="Arial" w:cs="Arial"/>
        </w:rPr>
      </w:pPr>
      <w:r>
        <w:t>As stated in the Application Form</w:t>
      </w:r>
      <w:r w:rsidR="006348D0">
        <w:t xml:space="preserve"> of the project</w:t>
      </w:r>
      <w:r>
        <w:t xml:space="preserve">, the </w:t>
      </w:r>
      <w:r w:rsidR="006348D0">
        <w:t>J</w:t>
      </w:r>
      <w:r w:rsidR="006348D0" w:rsidRPr="006E1D18">
        <w:t xml:space="preserve">oint </w:t>
      </w:r>
      <w:r w:rsidR="006348D0">
        <w:t>T</w:t>
      </w:r>
      <w:r w:rsidR="006348D0" w:rsidRPr="006E1D18">
        <w:t xml:space="preserve">hematic </w:t>
      </w:r>
      <w:r w:rsidRPr="006E1D18">
        <w:t xml:space="preserve">and </w:t>
      </w:r>
      <w:r w:rsidR="006348D0">
        <w:t>M</w:t>
      </w:r>
      <w:r w:rsidR="006348D0" w:rsidRPr="006E1D18">
        <w:t xml:space="preserve">ethodology </w:t>
      </w:r>
      <w:r w:rsidR="006348D0">
        <w:t>F</w:t>
      </w:r>
      <w:r w:rsidR="006348D0" w:rsidRPr="006E1D18">
        <w:t>rame</w:t>
      </w:r>
      <w:r w:rsidR="006348D0">
        <w:t xml:space="preserve">s </w:t>
      </w:r>
      <w:r>
        <w:t>are built on the SCIROCCO methodology, so the</w:t>
      </w:r>
      <w:r w:rsidRPr="00DA3D7E">
        <w:t xml:space="preserve"> main structure of the questionnaire follows the logic and domain structure of the SCIROCCO model. </w:t>
      </w:r>
      <w:r w:rsidR="006348D0">
        <w:t xml:space="preserve">This framework </w:t>
      </w:r>
      <w:r w:rsidRPr="00DA3D7E">
        <w:t xml:space="preserve">covers the following 12 </w:t>
      </w:r>
      <w:r w:rsidR="006348D0">
        <w:t>dimensions</w:t>
      </w:r>
      <w:r w:rsidRPr="00DA3D7E">
        <w:t xml:space="preserve">: Readiness to Change, Structure &amp; Governance, Digital Infrastructure, Process coordination, Funding, Removal of </w:t>
      </w:r>
      <w:r w:rsidRPr="00DA3D7E">
        <w:lastRenderedPageBreak/>
        <w:t>Inhibitors, Population Approach, Citizen Empowerment, Evaluation Methods, Breadth of Ambition, Innovation Management, Capacity Building.</w:t>
      </w:r>
      <w:r w:rsidRPr="00EB249B">
        <w:rPr>
          <w:sz w:val="20"/>
          <w:szCs w:val="20"/>
          <w:vertAlign w:val="superscript"/>
        </w:rPr>
        <w:footnoteReference w:id="2"/>
      </w:r>
      <w:r>
        <w:rPr>
          <w:rFonts w:ascii="Arial" w:eastAsia="Arial" w:hAnsi="Arial" w:cs="Arial"/>
        </w:rPr>
        <w:t xml:space="preserve"> </w:t>
      </w:r>
    </w:p>
    <w:p w14:paraId="14B28BAF" w14:textId="4DA73214" w:rsidR="001866BC" w:rsidRDefault="001866BC" w:rsidP="001866BC">
      <w:pPr>
        <w:spacing w:before="240" w:after="240"/>
        <w:jc w:val="both"/>
      </w:pPr>
      <w:r>
        <w:t xml:space="preserve">It is important to highlight that the SCIROCCO is designed for regions to assess their readiness for integrated care. Thus, </w:t>
      </w:r>
      <w:r w:rsidR="006348D0">
        <w:t xml:space="preserve">during the preparation of the questionnaire, it had to be adapted to better fit the thematic area addressed by Digi4Care. In this process, some of the original dimensions and assessments scales have been adjusted to </w:t>
      </w:r>
      <w:r w:rsidR="00985374">
        <w:t xml:space="preserve">optimise the tool for the assessment of </w:t>
      </w:r>
      <w:r>
        <w:t>digital health maturity. Nevertheless, as a framework, SCIROCCO became the leading source of this methodology</w:t>
      </w:r>
      <w:r w:rsidR="00985374">
        <w:t>.</w:t>
      </w:r>
    </w:p>
    <w:p w14:paraId="00000055" w14:textId="1F32D7B8" w:rsidR="00CF2104" w:rsidRPr="00985374" w:rsidRDefault="00985374" w:rsidP="00985374">
      <w:pPr>
        <w:spacing w:before="240" w:after="240"/>
        <w:jc w:val="both"/>
      </w:pPr>
      <w:r>
        <w:t>As a second step, t</w:t>
      </w:r>
      <w:r w:rsidR="001866BC">
        <w:t xml:space="preserve">o </w:t>
      </w:r>
      <w:r>
        <w:t>define the appropriate content that would fill this framework</w:t>
      </w:r>
      <w:r w:rsidR="001866BC">
        <w:t xml:space="preserve">, a literature review was conducted on PubMed and Google Scholar. Based on </w:t>
      </w:r>
      <w:r>
        <w:t>this</w:t>
      </w:r>
      <w:r w:rsidR="001866BC">
        <w:t xml:space="preserve"> research, several existing methodologies and tools were identified that can be used to assess the digital maturity </w:t>
      </w:r>
      <w:r>
        <w:t xml:space="preserve">in </w:t>
      </w:r>
      <w:r w:rsidR="001866BC">
        <w:t>a health</w:t>
      </w:r>
      <w:r>
        <w:t>care</w:t>
      </w:r>
      <w:r w:rsidR="001866BC">
        <w:t xml:space="preserve"> system. The main resu</w:t>
      </w:r>
      <w:r w:rsidR="00A01DF8">
        <w:t>lts of the research are summaris</w:t>
      </w:r>
      <w:r w:rsidR="001866BC">
        <w:t>ed in Table 1</w:t>
      </w:r>
      <w:r w:rsidR="00CB5E95" w:rsidRPr="00CD3526">
        <w:t>.</w:t>
      </w:r>
    </w:p>
    <w:tbl>
      <w:tblPr>
        <w:tblStyle w:val="a0"/>
        <w:tblW w:w="8865"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4410"/>
        <w:gridCol w:w="4455"/>
      </w:tblGrid>
      <w:tr w:rsidR="00CF2104" w14:paraId="68DC8DF3" w14:textId="77777777" w:rsidTr="00985374">
        <w:trPr>
          <w:trHeight w:val="285"/>
        </w:trPr>
        <w:tc>
          <w:tcPr>
            <w:tcW w:w="4410" w:type="dxa"/>
            <w:tcBorders>
              <w:top w:val="single" w:sz="8" w:space="0" w:color="000000"/>
              <w:left w:val="single" w:sz="8" w:space="0" w:color="000000"/>
              <w:bottom w:val="single" w:sz="8" w:space="0" w:color="000000"/>
              <w:right w:val="single" w:sz="8" w:space="0" w:color="000000"/>
            </w:tcBorders>
            <w:tcMar>
              <w:top w:w="0" w:type="dxa"/>
              <w:left w:w="100" w:type="dxa"/>
              <w:bottom w:w="0" w:type="dxa"/>
              <w:right w:w="100" w:type="dxa"/>
            </w:tcMar>
            <w:vAlign w:val="center"/>
          </w:tcPr>
          <w:p w14:paraId="00000056" w14:textId="77777777" w:rsidR="00CF2104" w:rsidRPr="00985374" w:rsidRDefault="00CB5E95" w:rsidP="00985374">
            <w:pPr>
              <w:spacing w:after="0" w:line="240" w:lineRule="auto"/>
              <w:jc w:val="center"/>
              <w:rPr>
                <w:rFonts w:asciiTheme="majorBidi" w:hAnsiTheme="majorBidi" w:cstheme="majorBidi"/>
                <w:b/>
                <w:sz w:val="20"/>
                <w:szCs w:val="20"/>
              </w:rPr>
            </w:pPr>
            <w:r w:rsidRPr="00985374">
              <w:rPr>
                <w:rFonts w:asciiTheme="majorBidi" w:hAnsiTheme="majorBidi" w:cstheme="majorBidi"/>
                <w:b/>
                <w:sz w:val="20"/>
                <w:szCs w:val="20"/>
              </w:rPr>
              <w:t>Authors</w:t>
            </w:r>
          </w:p>
        </w:tc>
        <w:tc>
          <w:tcPr>
            <w:tcW w:w="4455" w:type="dxa"/>
            <w:tcBorders>
              <w:top w:val="single" w:sz="8" w:space="0" w:color="000000"/>
              <w:left w:val="nil"/>
              <w:bottom w:val="single" w:sz="8" w:space="0" w:color="000000"/>
              <w:right w:val="single" w:sz="8" w:space="0" w:color="000000"/>
            </w:tcBorders>
            <w:tcMar>
              <w:top w:w="0" w:type="dxa"/>
              <w:left w:w="100" w:type="dxa"/>
              <w:bottom w:w="0" w:type="dxa"/>
              <w:right w:w="100" w:type="dxa"/>
            </w:tcMar>
            <w:vAlign w:val="center"/>
          </w:tcPr>
          <w:p w14:paraId="00000057" w14:textId="77777777" w:rsidR="00CF2104" w:rsidRPr="00985374" w:rsidRDefault="00CB5E95" w:rsidP="00985374">
            <w:pPr>
              <w:spacing w:after="0" w:line="240" w:lineRule="auto"/>
              <w:jc w:val="center"/>
              <w:rPr>
                <w:rFonts w:asciiTheme="majorBidi" w:hAnsiTheme="majorBidi" w:cstheme="majorBidi"/>
                <w:b/>
                <w:sz w:val="20"/>
                <w:szCs w:val="20"/>
              </w:rPr>
            </w:pPr>
            <w:r w:rsidRPr="00985374">
              <w:rPr>
                <w:rFonts w:asciiTheme="majorBidi" w:hAnsiTheme="majorBidi" w:cstheme="majorBidi"/>
                <w:b/>
                <w:sz w:val="20"/>
                <w:szCs w:val="20"/>
              </w:rPr>
              <w:t>Title</w:t>
            </w:r>
          </w:p>
        </w:tc>
      </w:tr>
      <w:tr w:rsidR="00CF2104" w14:paraId="703E8056" w14:textId="77777777" w:rsidTr="00985374">
        <w:trPr>
          <w:trHeight w:val="449"/>
        </w:trPr>
        <w:tc>
          <w:tcPr>
            <w:tcW w:w="4410" w:type="dxa"/>
            <w:tcBorders>
              <w:top w:val="nil"/>
              <w:left w:val="single" w:sz="8" w:space="0" w:color="000000"/>
              <w:bottom w:val="single" w:sz="8" w:space="0" w:color="000000"/>
              <w:right w:val="single" w:sz="8" w:space="0" w:color="000000"/>
            </w:tcBorders>
            <w:tcMar>
              <w:top w:w="0" w:type="dxa"/>
              <w:left w:w="100" w:type="dxa"/>
              <w:bottom w:w="0" w:type="dxa"/>
              <w:right w:w="100" w:type="dxa"/>
            </w:tcMar>
            <w:vAlign w:val="center"/>
          </w:tcPr>
          <w:p w14:paraId="00000058" w14:textId="77777777" w:rsidR="00CF2104" w:rsidRPr="00985374" w:rsidRDefault="00CB5E95"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Carvalho et al. (2016)</w:t>
            </w:r>
          </w:p>
        </w:tc>
        <w:tc>
          <w:tcPr>
            <w:tcW w:w="4455" w:type="dxa"/>
            <w:tcBorders>
              <w:top w:val="nil"/>
              <w:left w:val="nil"/>
              <w:bottom w:val="single" w:sz="8" w:space="0" w:color="000000"/>
              <w:right w:val="single" w:sz="8" w:space="0" w:color="000000"/>
            </w:tcBorders>
            <w:tcMar>
              <w:top w:w="0" w:type="dxa"/>
              <w:left w:w="100" w:type="dxa"/>
              <w:bottom w:w="0" w:type="dxa"/>
              <w:right w:w="100" w:type="dxa"/>
            </w:tcMar>
            <w:vAlign w:val="center"/>
          </w:tcPr>
          <w:p w14:paraId="00000059" w14:textId="77777777" w:rsidR="00CF2104" w:rsidRPr="00985374" w:rsidRDefault="00CB5E95"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Maturity Models of Healthcare Information Systems and Technologies: a Literature Review</w:t>
            </w:r>
          </w:p>
        </w:tc>
      </w:tr>
      <w:tr w:rsidR="00E030C9" w14:paraId="0563DD03" w14:textId="77777777" w:rsidTr="00985374">
        <w:trPr>
          <w:trHeight w:val="400"/>
        </w:trPr>
        <w:tc>
          <w:tcPr>
            <w:tcW w:w="4410" w:type="dxa"/>
            <w:tcBorders>
              <w:top w:val="nil"/>
              <w:left w:val="single" w:sz="8" w:space="0" w:color="000000"/>
              <w:bottom w:val="single" w:sz="8" w:space="0" w:color="000000"/>
              <w:right w:val="single" w:sz="8" w:space="0" w:color="000000"/>
            </w:tcBorders>
            <w:tcMar>
              <w:top w:w="0" w:type="dxa"/>
              <w:left w:w="100" w:type="dxa"/>
              <w:bottom w:w="0" w:type="dxa"/>
              <w:right w:w="100" w:type="dxa"/>
            </w:tcMar>
            <w:vAlign w:val="center"/>
          </w:tcPr>
          <w:p w14:paraId="70575F5C" w14:textId="3B961AB8" w:rsidR="00E030C9" w:rsidRPr="00985374" w:rsidRDefault="00E030C9"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Cognet et al. (2023)</w:t>
            </w:r>
          </w:p>
        </w:tc>
        <w:tc>
          <w:tcPr>
            <w:tcW w:w="4455" w:type="dxa"/>
            <w:tcBorders>
              <w:top w:val="nil"/>
              <w:left w:val="nil"/>
              <w:bottom w:val="single" w:sz="8" w:space="0" w:color="000000"/>
              <w:right w:val="single" w:sz="8" w:space="0" w:color="000000"/>
            </w:tcBorders>
            <w:tcMar>
              <w:top w:w="0" w:type="dxa"/>
              <w:left w:w="100" w:type="dxa"/>
              <w:bottom w:w="0" w:type="dxa"/>
              <w:right w:w="100" w:type="dxa"/>
            </w:tcMar>
            <w:vAlign w:val="center"/>
          </w:tcPr>
          <w:p w14:paraId="62F252EB" w14:textId="0076DE18" w:rsidR="00E030C9" w:rsidRPr="00985374" w:rsidRDefault="00E030C9"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Systematic comparison of digital maturity assessment models</w:t>
            </w:r>
          </w:p>
        </w:tc>
      </w:tr>
      <w:tr w:rsidR="00CF2104" w14:paraId="28CE5403" w14:textId="77777777" w:rsidTr="00985374">
        <w:trPr>
          <w:trHeight w:val="478"/>
        </w:trPr>
        <w:tc>
          <w:tcPr>
            <w:tcW w:w="4410" w:type="dxa"/>
            <w:tcBorders>
              <w:top w:val="nil"/>
              <w:left w:val="single" w:sz="8" w:space="0" w:color="000000"/>
              <w:bottom w:val="single" w:sz="8" w:space="0" w:color="000000"/>
              <w:right w:val="single" w:sz="8" w:space="0" w:color="000000"/>
            </w:tcBorders>
            <w:tcMar>
              <w:top w:w="0" w:type="dxa"/>
              <w:left w:w="100" w:type="dxa"/>
              <w:bottom w:w="0" w:type="dxa"/>
              <w:right w:w="100" w:type="dxa"/>
            </w:tcMar>
            <w:vAlign w:val="center"/>
          </w:tcPr>
          <w:p w14:paraId="0000005A" w14:textId="0D95802A" w:rsidR="00CF2104" w:rsidRPr="00985374" w:rsidRDefault="00CB5E95"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Godinho et al. (2021)</w:t>
            </w:r>
          </w:p>
        </w:tc>
        <w:tc>
          <w:tcPr>
            <w:tcW w:w="4455" w:type="dxa"/>
            <w:tcBorders>
              <w:top w:val="nil"/>
              <w:left w:val="nil"/>
              <w:bottom w:val="single" w:sz="8" w:space="0" w:color="000000"/>
              <w:right w:val="single" w:sz="8" w:space="0" w:color="000000"/>
            </w:tcBorders>
            <w:tcMar>
              <w:top w:w="0" w:type="dxa"/>
              <w:left w:w="100" w:type="dxa"/>
              <w:bottom w:w="0" w:type="dxa"/>
              <w:right w:w="100" w:type="dxa"/>
            </w:tcMar>
            <w:vAlign w:val="center"/>
          </w:tcPr>
          <w:p w14:paraId="0000005B" w14:textId="77777777" w:rsidR="00CF2104" w:rsidRPr="00985374" w:rsidRDefault="00CB5E95"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Toolkits for implementing and evaluating digital health: A systematic review of rigor and reporting</w:t>
            </w:r>
          </w:p>
        </w:tc>
      </w:tr>
      <w:tr w:rsidR="00CF2104" w14:paraId="0E79B8CE" w14:textId="77777777" w:rsidTr="00985374">
        <w:trPr>
          <w:trHeight w:val="258"/>
        </w:trPr>
        <w:tc>
          <w:tcPr>
            <w:tcW w:w="4410" w:type="dxa"/>
            <w:tcBorders>
              <w:top w:val="nil"/>
              <w:left w:val="single" w:sz="8" w:space="0" w:color="000000"/>
              <w:bottom w:val="single" w:sz="8" w:space="0" w:color="000000"/>
              <w:right w:val="single" w:sz="8" w:space="0" w:color="000000"/>
            </w:tcBorders>
            <w:tcMar>
              <w:top w:w="0" w:type="dxa"/>
              <w:left w:w="100" w:type="dxa"/>
              <w:bottom w:w="0" w:type="dxa"/>
              <w:right w:w="100" w:type="dxa"/>
            </w:tcMar>
            <w:vAlign w:val="center"/>
          </w:tcPr>
          <w:p w14:paraId="0000005C" w14:textId="77777777" w:rsidR="00CF2104" w:rsidRPr="00985374" w:rsidRDefault="00CB5E95"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Gomes &amp; Romão (2018)</w:t>
            </w:r>
          </w:p>
        </w:tc>
        <w:tc>
          <w:tcPr>
            <w:tcW w:w="4455" w:type="dxa"/>
            <w:tcBorders>
              <w:top w:val="nil"/>
              <w:left w:val="nil"/>
              <w:bottom w:val="single" w:sz="8" w:space="0" w:color="000000"/>
              <w:right w:val="single" w:sz="8" w:space="0" w:color="000000"/>
            </w:tcBorders>
            <w:tcMar>
              <w:top w:w="0" w:type="dxa"/>
              <w:left w:w="100" w:type="dxa"/>
              <w:bottom w:w="0" w:type="dxa"/>
              <w:right w:w="100" w:type="dxa"/>
            </w:tcMar>
            <w:vAlign w:val="center"/>
          </w:tcPr>
          <w:p w14:paraId="0000005D" w14:textId="77777777" w:rsidR="00CF2104" w:rsidRPr="00985374" w:rsidRDefault="00CB5E95"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Information System Maturity Models in Healthcare</w:t>
            </w:r>
          </w:p>
        </w:tc>
      </w:tr>
      <w:tr w:rsidR="00CF2104" w14:paraId="6EB375C6" w14:textId="77777777" w:rsidTr="00985374">
        <w:trPr>
          <w:trHeight w:val="1126"/>
        </w:trPr>
        <w:tc>
          <w:tcPr>
            <w:tcW w:w="4410" w:type="dxa"/>
            <w:tcBorders>
              <w:top w:val="nil"/>
              <w:left w:val="single" w:sz="8" w:space="0" w:color="000000"/>
              <w:bottom w:val="single" w:sz="8" w:space="0" w:color="000000"/>
              <w:right w:val="single" w:sz="8" w:space="0" w:color="000000"/>
            </w:tcBorders>
            <w:tcMar>
              <w:top w:w="0" w:type="dxa"/>
              <w:left w:w="100" w:type="dxa"/>
              <w:bottom w:w="0" w:type="dxa"/>
              <w:right w:w="100" w:type="dxa"/>
            </w:tcMar>
            <w:vAlign w:val="center"/>
          </w:tcPr>
          <w:p w14:paraId="6E4143EE" w14:textId="77777777" w:rsidR="00C836B0" w:rsidRPr="00985374" w:rsidRDefault="00C836B0" w:rsidP="00985374">
            <w:pPr>
              <w:spacing w:after="0" w:line="240" w:lineRule="auto"/>
              <w:jc w:val="center"/>
              <w:rPr>
                <w:rFonts w:asciiTheme="majorBidi" w:hAnsiTheme="majorBidi" w:cstheme="majorBidi"/>
                <w:sz w:val="20"/>
                <w:szCs w:val="20"/>
              </w:rPr>
            </w:pPr>
          </w:p>
          <w:p w14:paraId="0000005E" w14:textId="7A035E30" w:rsidR="00CF2104" w:rsidRPr="00985374" w:rsidRDefault="00CB5E95"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Greenhalgh et al. (2017)</w:t>
            </w:r>
          </w:p>
        </w:tc>
        <w:tc>
          <w:tcPr>
            <w:tcW w:w="4455" w:type="dxa"/>
            <w:tcBorders>
              <w:top w:val="nil"/>
              <w:left w:val="nil"/>
              <w:bottom w:val="single" w:sz="8" w:space="0" w:color="000000"/>
              <w:right w:val="single" w:sz="8" w:space="0" w:color="000000"/>
            </w:tcBorders>
            <w:tcMar>
              <w:top w:w="0" w:type="dxa"/>
              <w:left w:w="100" w:type="dxa"/>
              <w:bottom w:w="0" w:type="dxa"/>
              <w:right w:w="100" w:type="dxa"/>
            </w:tcMar>
            <w:vAlign w:val="center"/>
          </w:tcPr>
          <w:p w14:paraId="0000005F" w14:textId="77777777" w:rsidR="00CF2104" w:rsidRPr="00985374" w:rsidRDefault="00CB5E95"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Beyond Adoption: A New Framework for Theorizing and Evaluating Nonadoption, Abandonment, and Challenges to the Scale-Up, Spread, and Sustainability of Health and Care Technologies</w:t>
            </w:r>
          </w:p>
        </w:tc>
      </w:tr>
      <w:tr w:rsidR="00EC17BA" w14:paraId="32BFEE01" w14:textId="77777777" w:rsidTr="00985374">
        <w:trPr>
          <w:trHeight w:val="415"/>
        </w:trPr>
        <w:tc>
          <w:tcPr>
            <w:tcW w:w="4410" w:type="dxa"/>
            <w:tcBorders>
              <w:top w:val="nil"/>
              <w:left w:val="single" w:sz="8" w:space="0" w:color="000000"/>
              <w:bottom w:val="single" w:sz="8" w:space="0" w:color="000000"/>
              <w:right w:val="single" w:sz="8" w:space="0" w:color="000000"/>
            </w:tcBorders>
            <w:tcMar>
              <w:top w:w="0" w:type="dxa"/>
              <w:left w:w="100" w:type="dxa"/>
              <w:bottom w:w="0" w:type="dxa"/>
              <w:right w:w="100" w:type="dxa"/>
            </w:tcMar>
            <w:vAlign w:val="center"/>
          </w:tcPr>
          <w:p w14:paraId="4E88EFBF" w14:textId="58D80243" w:rsidR="00EC17BA" w:rsidRPr="00985374" w:rsidRDefault="00EC17BA"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Kolukısa Tarhan et al. (2020)</w:t>
            </w:r>
          </w:p>
        </w:tc>
        <w:tc>
          <w:tcPr>
            <w:tcW w:w="4455" w:type="dxa"/>
            <w:tcBorders>
              <w:top w:val="nil"/>
              <w:left w:val="nil"/>
              <w:bottom w:val="single" w:sz="8" w:space="0" w:color="000000"/>
              <w:right w:val="single" w:sz="8" w:space="0" w:color="000000"/>
            </w:tcBorders>
            <w:tcMar>
              <w:top w:w="0" w:type="dxa"/>
              <w:left w:w="100" w:type="dxa"/>
              <w:bottom w:w="0" w:type="dxa"/>
              <w:right w:w="100" w:type="dxa"/>
            </w:tcMar>
            <w:vAlign w:val="center"/>
          </w:tcPr>
          <w:p w14:paraId="76624362" w14:textId="5766BC5F" w:rsidR="00EC17BA" w:rsidRPr="00985374" w:rsidRDefault="00EC17BA"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Maturity assessment and maturity models in health care: A multivocal literature review</w:t>
            </w:r>
          </w:p>
        </w:tc>
      </w:tr>
      <w:tr w:rsidR="00EC17BA" w14:paraId="75BA1CF2" w14:textId="77777777" w:rsidTr="00985374">
        <w:trPr>
          <w:trHeight w:val="448"/>
        </w:trPr>
        <w:tc>
          <w:tcPr>
            <w:tcW w:w="4410" w:type="dxa"/>
            <w:tcBorders>
              <w:top w:val="nil"/>
              <w:left w:val="single" w:sz="8" w:space="0" w:color="000000"/>
              <w:bottom w:val="single" w:sz="8" w:space="0" w:color="000000"/>
              <w:right w:val="single" w:sz="8" w:space="0" w:color="000000"/>
            </w:tcBorders>
            <w:tcMar>
              <w:top w:w="0" w:type="dxa"/>
              <w:left w:w="100" w:type="dxa"/>
              <w:bottom w:w="0" w:type="dxa"/>
              <w:right w:w="100" w:type="dxa"/>
            </w:tcMar>
            <w:vAlign w:val="center"/>
          </w:tcPr>
          <w:p w14:paraId="00000060" w14:textId="77777777" w:rsidR="00EC17BA" w:rsidRPr="00985374" w:rsidRDefault="00EC17BA"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Liaw et al. (2021)</w:t>
            </w:r>
          </w:p>
        </w:tc>
        <w:tc>
          <w:tcPr>
            <w:tcW w:w="4455" w:type="dxa"/>
            <w:tcBorders>
              <w:top w:val="nil"/>
              <w:left w:val="nil"/>
              <w:bottom w:val="single" w:sz="8" w:space="0" w:color="000000"/>
              <w:right w:val="single" w:sz="8" w:space="0" w:color="000000"/>
            </w:tcBorders>
            <w:tcMar>
              <w:top w:w="0" w:type="dxa"/>
              <w:left w:w="100" w:type="dxa"/>
              <w:bottom w:w="0" w:type="dxa"/>
              <w:right w:w="100" w:type="dxa"/>
            </w:tcMar>
            <w:vAlign w:val="center"/>
          </w:tcPr>
          <w:p w14:paraId="00000061" w14:textId="77777777" w:rsidR="00EC17BA" w:rsidRPr="00985374" w:rsidRDefault="00EC17BA"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A digital health profile &amp; maturity assessment toolkit: cocreation and testing in the Pacific Islands</w:t>
            </w:r>
          </w:p>
        </w:tc>
      </w:tr>
      <w:tr w:rsidR="00EC17BA" w14:paraId="5530A60B" w14:textId="77777777" w:rsidTr="00985374">
        <w:trPr>
          <w:trHeight w:val="731"/>
        </w:trPr>
        <w:tc>
          <w:tcPr>
            <w:tcW w:w="4410" w:type="dxa"/>
            <w:tcBorders>
              <w:top w:val="nil"/>
              <w:left w:val="single" w:sz="8" w:space="0" w:color="000000"/>
              <w:bottom w:val="single" w:sz="4" w:space="0" w:color="auto"/>
              <w:right w:val="single" w:sz="8" w:space="0" w:color="000000"/>
            </w:tcBorders>
            <w:tcMar>
              <w:top w:w="0" w:type="dxa"/>
              <w:left w:w="100" w:type="dxa"/>
              <w:bottom w:w="0" w:type="dxa"/>
              <w:right w:w="100" w:type="dxa"/>
            </w:tcMar>
            <w:vAlign w:val="center"/>
          </w:tcPr>
          <w:p w14:paraId="55A66902" w14:textId="0A8980D5" w:rsidR="00EC17BA" w:rsidRPr="00985374" w:rsidRDefault="00EC17BA"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Liaw and Godinho (2023)</w:t>
            </w:r>
          </w:p>
        </w:tc>
        <w:tc>
          <w:tcPr>
            <w:tcW w:w="4455" w:type="dxa"/>
            <w:tcBorders>
              <w:top w:val="nil"/>
              <w:left w:val="nil"/>
              <w:bottom w:val="single" w:sz="4" w:space="0" w:color="auto"/>
              <w:right w:val="single" w:sz="8" w:space="0" w:color="000000"/>
            </w:tcBorders>
            <w:tcMar>
              <w:top w:w="0" w:type="dxa"/>
              <w:left w:w="100" w:type="dxa"/>
              <w:bottom w:w="0" w:type="dxa"/>
              <w:right w:w="100" w:type="dxa"/>
            </w:tcMar>
            <w:vAlign w:val="center"/>
          </w:tcPr>
          <w:p w14:paraId="6C174EA3" w14:textId="1AA9140E" w:rsidR="00EC17BA" w:rsidRPr="00985374" w:rsidRDefault="00EC17BA"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Digital health and capability maturity models—a critical thematic review and conceptual synthesis of the literature</w:t>
            </w:r>
          </w:p>
        </w:tc>
      </w:tr>
      <w:tr w:rsidR="00EC17BA" w14:paraId="7FF55F07" w14:textId="77777777" w:rsidTr="00985374">
        <w:trPr>
          <w:trHeight w:val="412"/>
        </w:trPr>
        <w:tc>
          <w:tcPr>
            <w:tcW w:w="441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vAlign w:val="center"/>
          </w:tcPr>
          <w:p w14:paraId="00000062" w14:textId="77777777" w:rsidR="00EC17BA" w:rsidRPr="00985374" w:rsidRDefault="00EC17BA" w:rsidP="00985374">
            <w:pPr>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Polatli et al. (2021)</w:t>
            </w:r>
          </w:p>
        </w:tc>
        <w:tc>
          <w:tcPr>
            <w:tcW w:w="4455"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vAlign w:val="center"/>
          </w:tcPr>
          <w:p w14:paraId="00000063" w14:textId="77777777" w:rsidR="00EC17BA" w:rsidRPr="00985374" w:rsidRDefault="00EC17BA" w:rsidP="00985374">
            <w:pPr>
              <w:keepNext/>
              <w:spacing w:after="0" w:line="240" w:lineRule="auto"/>
              <w:jc w:val="center"/>
              <w:rPr>
                <w:rFonts w:asciiTheme="majorBidi" w:hAnsiTheme="majorBidi" w:cstheme="majorBidi"/>
                <w:sz w:val="20"/>
                <w:szCs w:val="20"/>
              </w:rPr>
            </w:pPr>
            <w:r w:rsidRPr="00985374">
              <w:rPr>
                <w:rFonts w:asciiTheme="majorBidi" w:hAnsiTheme="majorBidi" w:cstheme="majorBidi"/>
                <w:sz w:val="20"/>
                <w:szCs w:val="20"/>
              </w:rPr>
              <w:t>Digital Maturity Assessment Models for Health Systems</w:t>
            </w:r>
          </w:p>
        </w:tc>
      </w:tr>
    </w:tbl>
    <w:p w14:paraId="4DF9504C" w14:textId="123C3B41" w:rsidR="00985374" w:rsidRDefault="00985374">
      <w:pPr>
        <w:pStyle w:val="Kpalrs"/>
      </w:pPr>
      <w:r w:rsidRPr="00985374">
        <w:rPr>
          <w:b/>
          <w:bCs/>
        </w:rPr>
        <w:t>Table 1.</w:t>
      </w:r>
      <w:r>
        <w:t xml:space="preserve"> </w:t>
      </w:r>
      <w:r w:rsidRPr="00985374">
        <w:t>Summary of the literature research: key findings (non-exhaustive list)</w:t>
      </w:r>
    </w:p>
    <w:p w14:paraId="00038B5B" w14:textId="3948DB24" w:rsidR="00DE4944" w:rsidRPr="00EB249B" w:rsidRDefault="00DE4944" w:rsidP="00DE4944">
      <w:pPr>
        <w:spacing w:before="240" w:after="240"/>
        <w:jc w:val="both"/>
      </w:pPr>
      <w:r>
        <w:t xml:space="preserve">Several toolkits were mentioned and listed in the different articles and reviews. From the identified and available instruments, the Global Digital Health Monitor (GDHM) was chosen as a practical and comprehensive </w:t>
      </w:r>
      <w:r w:rsidR="00985374">
        <w:t xml:space="preserve">guide </w:t>
      </w:r>
      <w:r>
        <w:t xml:space="preserve">to the content </w:t>
      </w:r>
      <w:r w:rsidR="00985374">
        <w:t>of the questionnaire</w:t>
      </w:r>
      <w:r>
        <w:t xml:space="preserve">. Moreover, the domains of the Consolidated Framework for Implementation Research (CFIR) </w:t>
      </w:r>
      <w:r w:rsidR="00985374">
        <w:t xml:space="preserve">have </w:t>
      </w:r>
      <w:r>
        <w:t>also</w:t>
      </w:r>
      <w:r w:rsidR="00985374">
        <w:t xml:space="preserve"> been</w:t>
      </w:r>
      <w:r>
        <w:t xml:space="preserve"> considered in </w:t>
      </w:r>
      <w:r w:rsidR="00985374">
        <w:t xml:space="preserve">formulating questions. </w:t>
      </w:r>
    </w:p>
    <w:p w14:paraId="2305D636" w14:textId="5E5B03F3" w:rsidR="00DE4944" w:rsidRPr="00EB249B" w:rsidRDefault="00DE4944" w:rsidP="00DE4944">
      <w:pPr>
        <w:spacing w:before="240" w:after="240"/>
        <w:jc w:val="both"/>
      </w:pPr>
      <w:r w:rsidRPr="00EB249B">
        <w:lastRenderedPageBreak/>
        <w:t>The Global Digital Health Monitor evaluates the</w:t>
      </w:r>
      <w:r w:rsidR="00985374">
        <w:t xml:space="preserve"> maturity</w:t>
      </w:r>
      <w:r w:rsidRPr="00EB249B">
        <w:t xml:space="preserve"> </w:t>
      </w:r>
      <w:r w:rsidR="00985374">
        <w:t xml:space="preserve">of country contexts to </w:t>
      </w:r>
      <w:r w:rsidRPr="00EB249B">
        <w:t xml:space="preserve">use digital technology </w:t>
      </w:r>
      <w:r w:rsidR="00985374">
        <w:t>in healthcare</w:t>
      </w:r>
      <w:r w:rsidRPr="00EB249B">
        <w:t xml:space="preserve">. The tool consists of 23 indicators in </w:t>
      </w:r>
      <w:r w:rsidR="00040902">
        <w:t>seven</w:t>
      </w:r>
      <w:r w:rsidR="00040902" w:rsidRPr="00EB249B">
        <w:t xml:space="preserve"> </w:t>
      </w:r>
      <w:r w:rsidRPr="00EB249B">
        <w:t xml:space="preserve">areas </w:t>
      </w:r>
      <w:r w:rsidR="00040902">
        <w:t>((1)</w:t>
      </w:r>
      <w:r w:rsidRPr="00EB249B">
        <w:t xml:space="preserve">leadership &amp; governance; </w:t>
      </w:r>
      <w:r w:rsidR="00040902">
        <w:t>(2)</w:t>
      </w:r>
      <w:r w:rsidRPr="00EB249B">
        <w:t xml:space="preserve">strategy &amp; investment; </w:t>
      </w:r>
      <w:r w:rsidR="00040902">
        <w:t>(3)</w:t>
      </w:r>
      <w:r w:rsidRPr="00EB249B">
        <w:t xml:space="preserve">legislation, policy &amp; compliance; </w:t>
      </w:r>
      <w:r w:rsidR="00040902">
        <w:t>(4)</w:t>
      </w:r>
      <w:r w:rsidRPr="00EB249B">
        <w:t xml:space="preserve">workforce; </w:t>
      </w:r>
      <w:r w:rsidR="00040902">
        <w:t>(5)</w:t>
      </w:r>
      <w:r w:rsidRPr="00EB249B">
        <w:t xml:space="preserve">standards &amp; interoperability; </w:t>
      </w:r>
      <w:r w:rsidR="00040902">
        <w:t>(6)</w:t>
      </w:r>
      <w:r w:rsidRPr="00EB249B">
        <w:t xml:space="preserve">infrastructure; </w:t>
      </w:r>
      <w:r w:rsidR="00040902">
        <w:t>and (7)</w:t>
      </w:r>
      <w:r w:rsidRPr="00EB249B">
        <w:t>services &amp; applications</w:t>
      </w:r>
      <w:r w:rsidR="007E6956">
        <w:t>)</w:t>
      </w:r>
      <w:r w:rsidRPr="00EB249B">
        <w:t>.</w:t>
      </w:r>
      <w:r w:rsidRPr="00EB249B">
        <w:rPr>
          <w:vertAlign w:val="superscript"/>
        </w:rPr>
        <w:footnoteReference w:id="3"/>
      </w:r>
      <w:r w:rsidRPr="00EB249B">
        <w:rPr>
          <w:vertAlign w:val="superscript"/>
        </w:rPr>
        <w:t xml:space="preserve"> </w:t>
      </w:r>
    </w:p>
    <w:p w14:paraId="31F79948" w14:textId="15DF91C9" w:rsidR="00DE4944" w:rsidRPr="00EB249B" w:rsidRDefault="00DE4944" w:rsidP="00DE4944">
      <w:pPr>
        <w:jc w:val="both"/>
      </w:pPr>
      <w:r w:rsidRPr="00EB249B">
        <w:t xml:space="preserve">The CFIR is a practical framework to help guide </w:t>
      </w:r>
      <w:r>
        <w:t>the systematic assessment of potential barriers and facilitators</w:t>
      </w:r>
      <w:r w:rsidR="00040902">
        <w:t xml:space="preserve"> in the implementation of innovations</w:t>
      </w:r>
      <w:r>
        <w:t xml:space="preserve">. It provides a menu of constructs arranged across 5 domains: </w:t>
      </w:r>
      <w:r w:rsidR="00040902">
        <w:t>(I)</w:t>
      </w:r>
      <w:r>
        <w:t xml:space="preserve">Innovation, </w:t>
      </w:r>
      <w:r w:rsidR="00040902">
        <w:t>(II)</w:t>
      </w:r>
      <w:r>
        <w:t xml:space="preserve">Outer Setting, </w:t>
      </w:r>
      <w:r w:rsidR="00040902">
        <w:t>(III)</w:t>
      </w:r>
      <w:r>
        <w:t xml:space="preserve">Inner Setting, </w:t>
      </w:r>
      <w:r w:rsidR="00040902">
        <w:t>(IV)</w:t>
      </w:r>
      <w:r>
        <w:t xml:space="preserve">Individuals, and </w:t>
      </w:r>
      <w:r w:rsidR="00040902">
        <w:t>(V)</w:t>
      </w:r>
      <w:r w:rsidRPr="00EB249B">
        <w:t>Implementation Process.</w:t>
      </w:r>
      <w:r w:rsidRPr="00EB249B">
        <w:rPr>
          <w:vertAlign w:val="superscript"/>
        </w:rPr>
        <w:footnoteReference w:id="4"/>
      </w:r>
      <w:r w:rsidRPr="00EB249B">
        <w:rPr>
          <w:vertAlign w:val="superscript"/>
        </w:rPr>
        <w:t xml:space="preserve"> </w:t>
      </w:r>
    </w:p>
    <w:p w14:paraId="00000068" w14:textId="31DEC616" w:rsidR="00CF2104" w:rsidRPr="00EB249B" w:rsidRDefault="00DE4944">
      <w:pPr>
        <w:jc w:val="both"/>
      </w:pPr>
      <w:r>
        <w:t>Overall, e</w:t>
      </w:r>
      <w:r w:rsidRPr="00EB249B">
        <w:t xml:space="preserve">ach of the 12 SCIROCCO </w:t>
      </w:r>
      <w:r w:rsidR="00040902">
        <w:t>dimensions</w:t>
      </w:r>
      <w:r w:rsidR="00040902" w:rsidRPr="00EB249B">
        <w:t xml:space="preserve"> </w:t>
      </w:r>
      <w:r w:rsidR="00CE2764" w:rsidRPr="00EB249B">
        <w:t>have</w:t>
      </w:r>
      <w:r w:rsidRPr="00EB249B">
        <w:t xml:space="preserve"> be</w:t>
      </w:r>
      <w:r>
        <w:t xml:space="preserve">en </w:t>
      </w:r>
      <w:r w:rsidR="00CE2764">
        <w:t xml:space="preserve">adapted </w:t>
      </w:r>
      <w:r>
        <w:t>to apply to digital health maturity,</w:t>
      </w:r>
      <w:r w:rsidRPr="00EB249B">
        <w:t xml:space="preserve"> and some questions </w:t>
      </w:r>
      <w:r w:rsidR="00CE2764">
        <w:t>have been formulated based on</w:t>
      </w:r>
      <w:r w:rsidRPr="00EB249B">
        <w:t xml:space="preserve"> the GDHM and</w:t>
      </w:r>
      <w:r w:rsidR="00CE2764">
        <w:t xml:space="preserve"> the</w:t>
      </w:r>
      <w:r w:rsidRPr="00EB249B">
        <w:t xml:space="preserve"> CFIR model</w:t>
      </w:r>
      <w:r w:rsidR="00CB5E95" w:rsidRPr="00EB249B">
        <w:t>.</w:t>
      </w:r>
    </w:p>
    <w:p w14:paraId="0000006B" w14:textId="27D52A1D" w:rsidR="00CF2104" w:rsidRDefault="00CB5E95">
      <w:pPr>
        <w:pStyle w:val="Cmsor1"/>
        <w:numPr>
          <w:ilvl w:val="0"/>
          <w:numId w:val="4"/>
        </w:numPr>
        <w:jc w:val="both"/>
      </w:pPr>
      <w:bookmarkStart w:id="6" w:name="_Toc167702765"/>
      <w:r>
        <w:t>Structure of the questionnaire</w:t>
      </w:r>
      <w:r w:rsidR="000376DA">
        <w:t xml:space="preserve"> and suggestions on how to complete it</w:t>
      </w:r>
      <w:bookmarkEnd w:id="6"/>
    </w:p>
    <w:p w14:paraId="0000006C" w14:textId="77777777" w:rsidR="00CF2104" w:rsidRDefault="00CB5E95">
      <w:pPr>
        <w:pStyle w:val="Cmsor2"/>
        <w:numPr>
          <w:ilvl w:val="1"/>
          <w:numId w:val="4"/>
        </w:numPr>
        <w:jc w:val="both"/>
      </w:pPr>
      <w:bookmarkStart w:id="7" w:name="_Toc167702766"/>
      <w:r>
        <w:t>Description of the Country/Regional Context</w:t>
      </w:r>
      <w:bookmarkEnd w:id="7"/>
    </w:p>
    <w:p w14:paraId="0000006D" w14:textId="0B7EC92D" w:rsidR="00CF2104" w:rsidRPr="00A43412" w:rsidRDefault="00CB5E95">
      <w:pPr>
        <w:jc w:val="both"/>
      </w:pPr>
      <w:r>
        <w:t>The first part of the questionnaire aims to establish the context of the country or region subject to the local partner analysis. Firstly, project partners are asked to indicate their region or country. It is acknowledged that the reasonable level of analysis may differ between countries involved in Digi4Care, depending on political structures and the level on which the responsibility to organise and operate the healthcare system lays. Therefore, project partners are asked in this section to decide which level of analysis is more likely to generate useful insights and indicate whether they would perform the analysis on the national or on the regional level. Subsequently, Digi4Care partners from the given country or region should be listed.</w:t>
      </w:r>
      <w:r w:rsidR="002E0092">
        <w:t xml:space="preserve"> </w:t>
      </w:r>
      <w:r w:rsidR="002E0092" w:rsidRPr="00A43412">
        <w:rPr>
          <w:bCs/>
          <w:iCs/>
        </w:rPr>
        <w:t>In line with the project description, these partners are encouraged to find ways to cooperate in performing the analysis, as leveraging the insights of each partner from the country or region is expected to result in a richer analysis.</w:t>
      </w:r>
      <w:r w:rsidR="002E0092" w:rsidRPr="00A43412">
        <w:t xml:space="preserve"> </w:t>
      </w:r>
    </w:p>
    <w:p w14:paraId="0000006E" w14:textId="7A0BEDA6" w:rsidR="00CF2104" w:rsidRDefault="00CB5E95">
      <w:pPr>
        <w:jc w:val="both"/>
      </w:pPr>
      <w:r>
        <w:t>Then, partners are asked to fill in the table with the selec</w:t>
      </w:r>
      <w:r w:rsidR="001866BC">
        <w:t xml:space="preserve">ted demographic and socioeconomic </w:t>
      </w:r>
      <w:r>
        <w:t>indicators relative to their country or region</w:t>
      </w:r>
      <w:r w:rsidR="00D734F8">
        <w:t xml:space="preserve"> using </w:t>
      </w:r>
      <w:r w:rsidR="00A26788">
        <w:t>the latest available data</w:t>
      </w:r>
      <w:r w:rsidR="00CE2764">
        <w:t xml:space="preserve"> (adding also the year the data refers to)</w:t>
      </w:r>
      <w:r w:rsidR="00A26788">
        <w:t>.</w:t>
      </w:r>
      <w:r>
        <w:t xml:space="preserve"> </w:t>
      </w:r>
    </w:p>
    <w:p w14:paraId="0000006F" w14:textId="77777777" w:rsidR="00CF2104" w:rsidRDefault="00CB5E95">
      <w:pPr>
        <w:jc w:val="both"/>
      </w:pPr>
      <w:r>
        <w:t>In collecting this information, the purpose of this section is to give a general overview on the country or region subject to the analysis. Project partners should look for data on the listed indicators relative to their country or region, or, if data is not available, write “</w:t>
      </w:r>
      <w:r>
        <w:rPr>
          <w:i/>
        </w:rPr>
        <w:t>N/A</w:t>
      </w:r>
      <w:r>
        <w:t xml:space="preserve">”.   </w:t>
      </w:r>
    </w:p>
    <w:p w14:paraId="00000070" w14:textId="31C86961" w:rsidR="00CF2104" w:rsidRDefault="00CB5E95" w:rsidP="006C1BEB">
      <w:pPr>
        <w:pStyle w:val="Cmsor2"/>
        <w:numPr>
          <w:ilvl w:val="1"/>
          <w:numId w:val="4"/>
        </w:numPr>
        <w:jc w:val="both"/>
      </w:pPr>
      <w:bookmarkStart w:id="8" w:name="_Toc167702767"/>
      <w:r>
        <w:lastRenderedPageBreak/>
        <w:t>Analysis of the country/regional context</w:t>
      </w:r>
      <w:bookmarkEnd w:id="8"/>
    </w:p>
    <w:p w14:paraId="204DBD71" w14:textId="77777777" w:rsidR="003E27CC" w:rsidRDefault="003E27CC" w:rsidP="003E27CC">
      <w:pPr>
        <w:jc w:val="both"/>
      </w:pPr>
      <w:r>
        <w:t>The second part of the questionnaire (</w:t>
      </w:r>
      <w:r w:rsidRPr="00017655">
        <w:rPr>
          <w:i/>
        </w:rPr>
        <w:t>II. Analysis of the country/regional context</w:t>
      </w:r>
      <w:r>
        <w:t xml:space="preserve">) contains questions regarding 12 dimensions, which focus on the maturity of national/regional contexts with respect to the introduction and use of digital health solutions. Since digital health covers an extensive range of areas, when completing the questionnaire, partners are asked to consider their own experiences and overall perception of the state of affairs in their country/region. Thus, local partner analyses are not expected to cover all the possible contents or information about the subjects discussed in the questionnaire regarding digital health. Instead, this methodology is constructed to enable all partners to consider the most relevant themes of implementation of any kind of digital solution, focusing on topics and questions they may have relevant insights to evaluate. Moreover, since it is a major goal to identify main strengths (good practices) and perspectives for improvement (barriers), the explicit objective of this questionnaire is to help with highlighting these factors. In line with this approach, distinguishing known and unknown domains concerning digital health should be helpful. </w:t>
      </w:r>
    </w:p>
    <w:p w14:paraId="61696334" w14:textId="77777777" w:rsidR="003E27CC" w:rsidRDefault="003E27CC" w:rsidP="003E27CC">
      <w:pPr>
        <w:jc w:val="both"/>
      </w:pPr>
      <w:r>
        <w:t xml:space="preserve">The dimensions and the questions may be self-evident or straightforward for many partners. However, some questions might arise regarding the topics addressed by certain dimensions or how to start and proceed with a specific dimension. To facilitate a shared understanding and provide some inspirational thoughts, the following sections give a short summary of the main objectives of each dimension along with some key statements to support the orientation of the process that partners will conduct to gain comprehensive analyses. Nonetheless, it is important to emphasise that these are not mandatory instructions, and partners are always welcome to enrich their analysis by adding relevant content that is not explicitly addressed by the guiding questions. </w:t>
      </w:r>
    </w:p>
    <w:p w14:paraId="2AA097A1" w14:textId="230FA2DA" w:rsidR="00017655" w:rsidRDefault="003E27CC" w:rsidP="003E27CC">
      <w:pPr>
        <w:jc w:val="both"/>
      </w:pPr>
      <w:r>
        <w:t>Finally, the partners are also asked to give a numerical assessment using the scale of maturity associated with each dimension based on their qualitative analysis along with the guiding questions. These assessment scales score the results from 0 to 5, underpinned by a short interpretation, which is intended to enable an in-depth common understanding of a particular rating. These assessment scales will also be part of the questionnaire and are the basis of the spider diagrams of the partners’ results (see Section 5.3.3) as a quantitative tool for the evaluation</w:t>
      </w:r>
      <w:r w:rsidR="00871624">
        <w:t>.</w:t>
      </w:r>
    </w:p>
    <w:p w14:paraId="00000071" w14:textId="449E74A3" w:rsidR="00CF2104" w:rsidRDefault="000376DA">
      <w:pPr>
        <w:pStyle w:val="Cmsor3"/>
      </w:pPr>
      <w:bookmarkStart w:id="9" w:name="_Toc167702768"/>
      <w:r>
        <w:t>3</w:t>
      </w:r>
      <w:r w:rsidR="00CB5E95">
        <w:t>.2.1 Readiness to Change</w:t>
      </w:r>
      <w:bookmarkEnd w:id="9"/>
    </w:p>
    <w:p w14:paraId="00000072" w14:textId="77777777" w:rsidR="00CF2104" w:rsidRDefault="00CB5E95">
      <w:pPr>
        <w:rPr>
          <w:b/>
          <w:u w:val="single"/>
        </w:rPr>
      </w:pPr>
      <w:r>
        <w:rPr>
          <w:b/>
          <w:u w:val="single"/>
        </w:rPr>
        <w:t>Objectives</w:t>
      </w:r>
    </w:p>
    <w:p w14:paraId="00000073" w14:textId="5FE6FDFA" w:rsidR="00CF2104" w:rsidRDefault="001866BC" w:rsidP="001866BC">
      <w:pPr>
        <w:jc w:val="both"/>
      </w:pPr>
      <w:r>
        <w:t>If the existing systems of care</w:t>
      </w:r>
      <w:r w:rsidR="00CB5E95">
        <w:t xml:space="preserve"> need to be re-designed to</w:t>
      </w:r>
      <w:r w:rsidR="00A57D41">
        <w:t>wards digital health solutions</w:t>
      </w:r>
      <w:r w:rsidR="00CB5E95">
        <w:t xml:space="preserve">, this will require change across many levels, the creation of new roles, processes and working practices, and new systems to support </w:t>
      </w:r>
      <w:r w:rsidR="00A57D41">
        <w:t xml:space="preserve">this via e.g. </w:t>
      </w:r>
      <w:r w:rsidR="00CB5E95">
        <w:t xml:space="preserve">information sharing and collaboration across </w:t>
      </w:r>
      <w:r w:rsidR="00A57D41">
        <w:t>the sector, adopting new regulations and guidelines, or reorganizing structural frameworks</w:t>
      </w:r>
      <w:r w:rsidR="00CB5E95">
        <w:t xml:space="preserve">. This will be disruptive and may be viewed </w:t>
      </w:r>
      <w:r w:rsidR="00CB5E95">
        <w:lastRenderedPageBreak/>
        <w:t xml:space="preserve">negatively by </w:t>
      </w:r>
      <w:r w:rsidR="006C241B">
        <w:t>certain</w:t>
      </w:r>
      <w:r w:rsidR="00A57D41">
        <w:t xml:space="preserve"> stakeholders</w:t>
      </w:r>
      <w:r w:rsidR="00CB5E95">
        <w:t xml:space="preserve">, so clear </w:t>
      </w:r>
      <w:r w:rsidR="0032219C">
        <w:t>priorities</w:t>
      </w:r>
      <w:r w:rsidR="00CB5E95">
        <w:t xml:space="preserve"> need to be </w:t>
      </w:r>
      <w:r w:rsidR="006C241B">
        <w:t xml:space="preserve">established </w:t>
      </w:r>
      <w:r w:rsidR="00CB5E95">
        <w:t>for those changes, including a justification, a strategic plan, and a vision of better care.</w:t>
      </w:r>
    </w:p>
    <w:p w14:paraId="00000074" w14:textId="08007EFA" w:rsidR="00CF2104" w:rsidRPr="00692390" w:rsidRDefault="00CB5E95" w:rsidP="00C74BCA">
      <w:pPr>
        <w:numPr>
          <w:ilvl w:val="0"/>
          <w:numId w:val="9"/>
        </w:numPr>
        <w:pBdr>
          <w:top w:val="nil"/>
          <w:left w:val="nil"/>
          <w:bottom w:val="nil"/>
          <w:right w:val="nil"/>
          <w:between w:val="nil"/>
        </w:pBdr>
        <w:spacing w:after="0"/>
        <w:jc w:val="both"/>
        <w:rPr>
          <w:color w:val="000000"/>
        </w:rPr>
      </w:pPr>
      <w:r w:rsidRPr="00692390">
        <w:rPr>
          <w:color w:val="000000"/>
        </w:rPr>
        <w:t xml:space="preserve">Creating a compelling vision, with a real sense of urgency, and enlisting stakeholder support including political leadership, management, care professionals, </w:t>
      </w:r>
      <w:r w:rsidR="006C241B">
        <w:rPr>
          <w:color w:val="000000"/>
        </w:rPr>
        <w:t xml:space="preserve">the </w:t>
      </w:r>
      <w:r w:rsidRPr="00692390">
        <w:rPr>
          <w:color w:val="000000"/>
        </w:rPr>
        <w:t xml:space="preserve">public and </w:t>
      </w:r>
      <w:r w:rsidR="006C241B">
        <w:rPr>
          <w:color w:val="000000"/>
        </w:rPr>
        <w:t xml:space="preserve">the </w:t>
      </w:r>
      <w:r w:rsidRPr="00692390">
        <w:rPr>
          <w:color w:val="000000"/>
        </w:rPr>
        <w:t>press.</w:t>
      </w:r>
    </w:p>
    <w:p w14:paraId="00000075" w14:textId="77777777" w:rsidR="00CF2104" w:rsidRPr="00692390" w:rsidRDefault="00CB5E95" w:rsidP="00C74BCA">
      <w:pPr>
        <w:numPr>
          <w:ilvl w:val="0"/>
          <w:numId w:val="9"/>
        </w:numPr>
        <w:pBdr>
          <w:top w:val="nil"/>
          <w:left w:val="nil"/>
          <w:bottom w:val="nil"/>
          <w:right w:val="nil"/>
          <w:between w:val="nil"/>
        </w:pBdr>
        <w:spacing w:after="0"/>
        <w:jc w:val="both"/>
        <w:rPr>
          <w:color w:val="000000"/>
        </w:rPr>
      </w:pPr>
      <w:r w:rsidRPr="00692390">
        <w:rPr>
          <w:color w:val="000000"/>
        </w:rPr>
        <w:t>Accepting the reality that care systems are unsustainable and need to change.</w:t>
      </w:r>
    </w:p>
    <w:p w14:paraId="00000076" w14:textId="1FC5D326" w:rsidR="00CF2104" w:rsidRPr="00692390" w:rsidRDefault="00CB5E95" w:rsidP="00C74BCA">
      <w:pPr>
        <w:numPr>
          <w:ilvl w:val="0"/>
          <w:numId w:val="9"/>
        </w:numPr>
        <w:pBdr>
          <w:top w:val="nil"/>
          <w:left w:val="nil"/>
          <w:bottom w:val="nil"/>
          <w:right w:val="nil"/>
          <w:between w:val="nil"/>
        </w:pBdr>
        <w:spacing w:after="0"/>
        <w:jc w:val="both"/>
        <w:rPr>
          <w:color w:val="000000"/>
        </w:rPr>
      </w:pPr>
      <w:r w:rsidRPr="00692390">
        <w:rPr>
          <w:color w:val="000000"/>
        </w:rPr>
        <w:t>Considering the nee</w:t>
      </w:r>
      <w:r w:rsidR="00C74BCA">
        <w:rPr>
          <w:color w:val="000000"/>
        </w:rPr>
        <w:t xml:space="preserve">d to address the risk of </w:t>
      </w:r>
      <w:r w:rsidRPr="00692390">
        <w:rPr>
          <w:color w:val="000000"/>
        </w:rPr>
        <w:t>inequalities.</w:t>
      </w:r>
    </w:p>
    <w:p w14:paraId="00000077" w14:textId="77777777" w:rsidR="00CF2104" w:rsidRPr="00692390" w:rsidRDefault="00CB5E95" w:rsidP="00C74BCA">
      <w:pPr>
        <w:numPr>
          <w:ilvl w:val="0"/>
          <w:numId w:val="9"/>
        </w:numPr>
        <w:pBdr>
          <w:top w:val="nil"/>
          <w:left w:val="nil"/>
          <w:bottom w:val="nil"/>
          <w:right w:val="nil"/>
          <w:between w:val="nil"/>
        </w:pBdr>
        <w:spacing w:after="0"/>
        <w:jc w:val="both"/>
        <w:rPr>
          <w:color w:val="000000"/>
        </w:rPr>
      </w:pPr>
      <w:r w:rsidRPr="00692390">
        <w:rPr>
          <w:color w:val="000000"/>
        </w:rPr>
        <w:t>Publishing a clear description of the issues, the choices that need to be made, and the desired future state of the care systems, stating what will be the future experience of care.</w:t>
      </w:r>
    </w:p>
    <w:p w14:paraId="00000078" w14:textId="77777777" w:rsidR="00CF2104" w:rsidRPr="00692390" w:rsidRDefault="00CB5E95" w:rsidP="00C74BCA">
      <w:pPr>
        <w:numPr>
          <w:ilvl w:val="0"/>
          <w:numId w:val="9"/>
        </w:numPr>
        <w:pBdr>
          <w:top w:val="nil"/>
          <w:left w:val="nil"/>
          <w:bottom w:val="nil"/>
          <w:right w:val="nil"/>
          <w:between w:val="nil"/>
        </w:pBdr>
        <w:jc w:val="both"/>
        <w:rPr>
          <w:color w:val="000000"/>
        </w:rPr>
      </w:pPr>
      <w:r w:rsidRPr="00692390">
        <w:rPr>
          <w:color w:val="000000"/>
        </w:rPr>
        <w:t>Creating a sense of urgency to ensure sustained focus and building a ‘guiding coalition’ for change.</w:t>
      </w:r>
    </w:p>
    <w:p w14:paraId="00000079" w14:textId="77777777" w:rsidR="00CF2104" w:rsidRPr="009571FD" w:rsidRDefault="00CB5E95" w:rsidP="00C74BCA">
      <w:pPr>
        <w:spacing w:line="240" w:lineRule="auto"/>
        <w:jc w:val="both"/>
        <w:rPr>
          <w:b/>
          <w:i/>
          <w:sz w:val="22"/>
          <w:szCs w:val="22"/>
          <w:u w:val="single"/>
        </w:rPr>
      </w:pPr>
      <w:r w:rsidRPr="009571FD">
        <w:rPr>
          <w:b/>
          <w:i/>
          <w:sz w:val="22"/>
          <w:szCs w:val="22"/>
          <w:u w:val="single"/>
        </w:rPr>
        <w:t>Assessment scale</w:t>
      </w:r>
    </w:p>
    <w:p w14:paraId="0000007A" w14:textId="35F2B33A" w:rsidR="00CF2104" w:rsidRPr="009571FD" w:rsidRDefault="00CB5E95" w:rsidP="00DC5830">
      <w:pPr>
        <w:spacing w:after="0"/>
        <w:jc w:val="both"/>
        <w:rPr>
          <w:i/>
          <w:sz w:val="22"/>
          <w:szCs w:val="22"/>
        </w:rPr>
      </w:pPr>
      <w:r w:rsidRPr="009571FD">
        <w:rPr>
          <w:i/>
          <w:sz w:val="22"/>
          <w:szCs w:val="22"/>
        </w:rPr>
        <w:t>0 – No acknowledgement of compelling need to change</w:t>
      </w:r>
      <w:r w:rsidR="00C74BCA" w:rsidRPr="009571FD">
        <w:rPr>
          <w:i/>
          <w:sz w:val="22"/>
          <w:szCs w:val="22"/>
        </w:rPr>
        <w:t>.</w:t>
      </w:r>
    </w:p>
    <w:p w14:paraId="0000007B" w14:textId="2576E7B7" w:rsidR="00CF2104" w:rsidRPr="009571FD" w:rsidRDefault="00CB5E95" w:rsidP="00DC5830">
      <w:pPr>
        <w:spacing w:after="0"/>
        <w:jc w:val="both"/>
        <w:rPr>
          <w:i/>
          <w:sz w:val="22"/>
          <w:szCs w:val="22"/>
        </w:rPr>
      </w:pPr>
      <w:r w:rsidRPr="009571FD">
        <w:rPr>
          <w:i/>
          <w:sz w:val="22"/>
          <w:szCs w:val="22"/>
        </w:rPr>
        <w:t xml:space="preserve">1 – Compelling need is recognised, but no clear vision or strategic </w:t>
      </w:r>
      <w:r w:rsidR="0032219C" w:rsidRPr="009571FD">
        <w:rPr>
          <w:i/>
          <w:sz w:val="22"/>
          <w:szCs w:val="22"/>
        </w:rPr>
        <w:t>prioritising</w:t>
      </w:r>
      <w:r w:rsidR="00C74BCA" w:rsidRPr="009571FD">
        <w:rPr>
          <w:i/>
          <w:sz w:val="22"/>
          <w:szCs w:val="22"/>
        </w:rPr>
        <w:t>.</w:t>
      </w:r>
      <w:r w:rsidR="0032219C" w:rsidRPr="009571FD">
        <w:rPr>
          <w:i/>
          <w:sz w:val="22"/>
          <w:szCs w:val="22"/>
        </w:rPr>
        <w:t xml:space="preserve"> </w:t>
      </w:r>
    </w:p>
    <w:p w14:paraId="0000007C" w14:textId="0C2B2495" w:rsidR="00CF2104" w:rsidRPr="009571FD" w:rsidRDefault="00CB5E95" w:rsidP="00DC5830">
      <w:pPr>
        <w:spacing w:after="0"/>
        <w:jc w:val="both"/>
        <w:rPr>
          <w:i/>
          <w:sz w:val="22"/>
          <w:szCs w:val="22"/>
        </w:rPr>
      </w:pPr>
      <w:r w:rsidRPr="009571FD">
        <w:rPr>
          <w:i/>
          <w:sz w:val="22"/>
          <w:szCs w:val="22"/>
        </w:rPr>
        <w:t>2 – Dialogue and consensus-building underway; plan</w:t>
      </w:r>
      <w:r w:rsidR="0032219C" w:rsidRPr="009571FD">
        <w:rPr>
          <w:i/>
          <w:sz w:val="22"/>
          <w:szCs w:val="22"/>
        </w:rPr>
        <w:t xml:space="preserve"> for priorities</w:t>
      </w:r>
      <w:r w:rsidRPr="009571FD">
        <w:rPr>
          <w:i/>
          <w:sz w:val="22"/>
          <w:szCs w:val="22"/>
        </w:rPr>
        <w:t xml:space="preserve"> being developed</w:t>
      </w:r>
      <w:r w:rsidR="00C74BCA" w:rsidRPr="009571FD">
        <w:rPr>
          <w:i/>
          <w:sz w:val="22"/>
          <w:szCs w:val="22"/>
        </w:rPr>
        <w:t>.</w:t>
      </w:r>
    </w:p>
    <w:p w14:paraId="0000007D" w14:textId="24737E3D" w:rsidR="00CF2104" w:rsidRPr="009571FD" w:rsidRDefault="00CB5E95" w:rsidP="00DC5830">
      <w:pPr>
        <w:spacing w:after="0"/>
        <w:jc w:val="both"/>
        <w:rPr>
          <w:i/>
          <w:sz w:val="22"/>
          <w:szCs w:val="22"/>
        </w:rPr>
      </w:pPr>
      <w:r w:rsidRPr="009571FD">
        <w:rPr>
          <w:i/>
          <w:sz w:val="22"/>
          <w:szCs w:val="22"/>
        </w:rPr>
        <w:t xml:space="preserve">3 – Vision or plan </w:t>
      </w:r>
      <w:r w:rsidR="0032219C" w:rsidRPr="009571FD">
        <w:rPr>
          <w:i/>
          <w:sz w:val="22"/>
          <w:szCs w:val="22"/>
        </w:rPr>
        <w:t xml:space="preserve">for priorities </w:t>
      </w:r>
      <w:r w:rsidRPr="009571FD">
        <w:rPr>
          <w:i/>
          <w:sz w:val="22"/>
          <w:szCs w:val="22"/>
        </w:rPr>
        <w:t>embedded in policy; leaders and champions emerging</w:t>
      </w:r>
      <w:r w:rsidR="00C74BCA" w:rsidRPr="009571FD">
        <w:rPr>
          <w:i/>
          <w:sz w:val="22"/>
          <w:szCs w:val="22"/>
        </w:rPr>
        <w:t>.</w:t>
      </w:r>
    </w:p>
    <w:p w14:paraId="0000007E" w14:textId="6ACF5BC4" w:rsidR="00CF2104" w:rsidRPr="009571FD" w:rsidRDefault="00CB5E95" w:rsidP="00DC5830">
      <w:pPr>
        <w:spacing w:after="0"/>
        <w:jc w:val="both"/>
        <w:rPr>
          <w:i/>
          <w:sz w:val="22"/>
          <w:szCs w:val="22"/>
        </w:rPr>
      </w:pPr>
      <w:r w:rsidRPr="009571FD">
        <w:rPr>
          <w:i/>
          <w:sz w:val="22"/>
          <w:szCs w:val="22"/>
        </w:rPr>
        <w:t>4 – Leadership, vision and plan</w:t>
      </w:r>
      <w:r w:rsidR="0032219C" w:rsidRPr="009571FD">
        <w:rPr>
          <w:i/>
          <w:sz w:val="22"/>
          <w:szCs w:val="22"/>
        </w:rPr>
        <w:t xml:space="preserve"> for priorities</w:t>
      </w:r>
      <w:r w:rsidRPr="009571FD">
        <w:rPr>
          <w:i/>
          <w:sz w:val="22"/>
          <w:szCs w:val="22"/>
        </w:rPr>
        <w:t xml:space="preserve"> clear to the general public; pressure for change</w:t>
      </w:r>
      <w:r w:rsidR="00C74BCA" w:rsidRPr="009571FD">
        <w:rPr>
          <w:i/>
          <w:sz w:val="22"/>
          <w:szCs w:val="22"/>
        </w:rPr>
        <w:t>.</w:t>
      </w:r>
    </w:p>
    <w:p w14:paraId="0000007F" w14:textId="77777777" w:rsidR="00CF2104" w:rsidRPr="009571FD" w:rsidRDefault="00CB5E95" w:rsidP="009571FD">
      <w:pPr>
        <w:spacing w:after="240" w:line="240" w:lineRule="auto"/>
        <w:jc w:val="both"/>
        <w:rPr>
          <w:i/>
          <w:sz w:val="22"/>
          <w:szCs w:val="22"/>
        </w:rPr>
      </w:pPr>
      <w:r w:rsidRPr="009571FD">
        <w:rPr>
          <w:i/>
          <w:sz w:val="22"/>
          <w:szCs w:val="22"/>
        </w:rPr>
        <w:t>5 – Political consensus; public support; visible stakeholder engagement.</w:t>
      </w:r>
    </w:p>
    <w:p w14:paraId="00000080" w14:textId="6E3AA6A9" w:rsidR="00CF2104" w:rsidRDefault="000376DA">
      <w:pPr>
        <w:pStyle w:val="Cmsor3"/>
      </w:pPr>
      <w:bookmarkStart w:id="10" w:name="_Toc167702769"/>
      <w:r>
        <w:t>3</w:t>
      </w:r>
      <w:r w:rsidR="00CB5E95">
        <w:t>.2.2. Structure &amp; Governance</w:t>
      </w:r>
      <w:bookmarkEnd w:id="10"/>
    </w:p>
    <w:p w14:paraId="00000081" w14:textId="77777777" w:rsidR="00CF2104" w:rsidRDefault="00CB5E95">
      <w:pPr>
        <w:jc w:val="both"/>
        <w:rPr>
          <w:b/>
        </w:rPr>
      </w:pPr>
      <w:r>
        <w:rPr>
          <w:b/>
        </w:rPr>
        <w:t>Objectives</w:t>
      </w:r>
    </w:p>
    <w:p w14:paraId="00000082" w14:textId="3D3694C0" w:rsidR="00CF2104" w:rsidRDefault="00CB5E95" w:rsidP="00DC5830">
      <w:pPr>
        <w:spacing w:after="0"/>
        <w:jc w:val="both"/>
      </w:pPr>
      <w:r>
        <w:t xml:space="preserve">The broad set of changes needed to </w:t>
      </w:r>
      <w:r w:rsidR="00775099">
        <w:t>introduce digital health solutions into health care</w:t>
      </w:r>
      <w:r>
        <w:t xml:space="preserve"> at a regional or national level presents a significant challenge. It needs multi-year programmes with efficient </w:t>
      </w:r>
      <w:r w:rsidRPr="00DC5830">
        <w:rPr>
          <w:i/>
          <w:sz w:val="22"/>
          <w:szCs w:val="22"/>
        </w:rPr>
        <w:t>change</w:t>
      </w:r>
      <w:r>
        <w:t xml:space="preserve"> management, funding and communications, and the power to influence and (sometimes) mandate new working practices. This means alignment of purpose across diverse organisations and professions, and the willingness to collaborate and put the interest of the overall care system above individual incentives. It also means managing the introduction of </w:t>
      </w:r>
      <w:r w:rsidR="006C241B">
        <w:t>technology-</w:t>
      </w:r>
      <w:r>
        <w:t>enabled care services in a way that makes them easy to use, reliable, secure, and acceptable to care professionals and citizens alike.</w:t>
      </w:r>
    </w:p>
    <w:p w14:paraId="00000083" w14:textId="667E52FA" w:rsidR="00CF2104" w:rsidRDefault="00CB5E95" w:rsidP="00FC4CF9">
      <w:pPr>
        <w:numPr>
          <w:ilvl w:val="0"/>
          <w:numId w:val="11"/>
        </w:numPr>
        <w:pBdr>
          <w:top w:val="nil"/>
          <w:left w:val="nil"/>
          <w:bottom w:val="nil"/>
          <w:right w:val="nil"/>
          <w:between w:val="nil"/>
        </w:pBdr>
        <w:spacing w:after="0"/>
        <w:jc w:val="both"/>
        <w:rPr>
          <w:color w:val="000000"/>
        </w:rPr>
      </w:pPr>
      <w:r>
        <w:rPr>
          <w:color w:val="000000"/>
        </w:rPr>
        <w:t>Enabling properly funded programmes, including project management and change management; establishing digital competence centres to support roll-out; distributed leadership, to reduce dependency on a single heroic leader; excellent communication of goals, progress and successes.</w:t>
      </w:r>
    </w:p>
    <w:p w14:paraId="00000084" w14:textId="77777777" w:rsidR="00CF2104" w:rsidRDefault="00CB5E95" w:rsidP="00FC4CF9">
      <w:pPr>
        <w:numPr>
          <w:ilvl w:val="0"/>
          <w:numId w:val="11"/>
        </w:numPr>
        <w:pBdr>
          <w:top w:val="nil"/>
          <w:left w:val="nil"/>
          <w:bottom w:val="nil"/>
          <w:right w:val="nil"/>
          <w:between w:val="nil"/>
        </w:pBdr>
        <w:spacing w:after="0"/>
        <w:jc w:val="both"/>
        <w:rPr>
          <w:color w:val="000000"/>
        </w:rPr>
      </w:pPr>
      <w:r>
        <w:rPr>
          <w:color w:val="000000"/>
        </w:rPr>
        <w:t>Managing successful digital innovation within a properly funded, multi-year transformation programme.</w:t>
      </w:r>
    </w:p>
    <w:p w14:paraId="00000085" w14:textId="2CFBB8AE" w:rsidR="00CF2104" w:rsidRDefault="00CB5E95" w:rsidP="00FC4CF9">
      <w:pPr>
        <w:numPr>
          <w:ilvl w:val="0"/>
          <w:numId w:val="11"/>
        </w:numPr>
        <w:pBdr>
          <w:top w:val="nil"/>
          <w:left w:val="nil"/>
          <w:bottom w:val="nil"/>
          <w:right w:val="nil"/>
          <w:between w:val="nil"/>
        </w:pBdr>
        <w:spacing w:after="0"/>
        <w:jc w:val="both"/>
        <w:rPr>
          <w:color w:val="000000"/>
        </w:rPr>
      </w:pPr>
      <w:r>
        <w:rPr>
          <w:color w:val="000000"/>
        </w:rPr>
        <w:t>Considering the need to address the risk of inequalities.</w:t>
      </w:r>
    </w:p>
    <w:p w14:paraId="00000086" w14:textId="77777777" w:rsidR="00CF2104" w:rsidRDefault="00CB5E95" w:rsidP="00FC4CF9">
      <w:pPr>
        <w:numPr>
          <w:ilvl w:val="0"/>
          <w:numId w:val="11"/>
        </w:numPr>
        <w:pBdr>
          <w:top w:val="nil"/>
          <w:left w:val="nil"/>
          <w:bottom w:val="nil"/>
          <w:right w:val="nil"/>
          <w:between w:val="nil"/>
        </w:pBdr>
        <w:jc w:val="both"/>
        <w:rPr>
          <w:color w:val="000000"/>
        </w:rPr>
      </w:pPr>
      <w:r>
        <w:rPr>
          <w:color w:val="000000"/>
        </w:rPr>
        <w:t>Establishing organisations with the mandate to select, develop and deliver digital services.</w:t>
      </w:r>
    </w:p>
    <w:p w14:paraId="00000087" w14:textId="77777777" w:rsidR="00CF2104" w:rsidRPr="009571FD" w:rsidRDefault="00CB5E95" w:rsidP="00DC5830">
      <w:pPr>
        <w:keepNext/>
        <w:spacing w:line="240" w:lineRule="auto"/>
        <w:jc w:val="both"/>
        <w:rPr>
          <w:b/>
          <w:i/>
          <w:sz w:val="22"/>
          <w:szCs w:val="22"/>
          <w:u w:val="single"/>
        </w:rPr>
      </w:pPr>
      <w:r w:rsidRPr="009571FD">
        <w:rPr>
          <w:b/>
          <w:i/>
          <w:sz w:val="22"/>
          <w:szCs w:val="22"/>
          <w:u w:val="single"/>
        </w:rPr>
        <w:lastRenderedPageBreak/>
        <w:t>Assessment scale</w:t>
      </w:r>
    </w:p>
    <w:p w14:paraId="00000088" w14:textId="11897397" w:rsidR="00CF2104" w:rsidRPr="009571FD" w:rsidRDefault="00CB5E95" w:rsidP="00DC5830">
      <w:pPr>
        <w:spacing w:after="0"/>
        <w:jc w:val="both"/>
        <w:rPr>
          <w:i/>
          <w:sz w:val="22"/>
          <w:szCs w:val="22"/>
        </w:rPr>
      </w:pPr>
      <w:r w:rsidRPr="009571FD">
        <w:rPr>
          <w:i/>
          <w:sz w:val="22"/>
          <w:szCs w:val="22"/>
        </w:rPr>
        <w:t>0 – Fragmented structure and governance in place</w:t>
      </w:r>
      <w:r w:rsidR="005E7EEA" w:rsidRPr="009571FD">
        <w:rPr>
          <w:i/>
          <w:sz w:val="22"/>
          <w:szCs w:val="22"/>
        </w:rPr>
        <w:t>.</w:t>
      </w:r>
    </w:p>
    <w:p w14:paraId="00000089" w14:textId="359AAC5A" w:rsidR="00CF2104" w:rsidRPr="009571FD" w:rsidRDefault="00CB5E95" w:rsidP="00DC5830">
      <w:pPr>
        <w:spacing w:after="0"/>
        <w:jc w:val="both"/>
        <w:rPr>
          <w:i/>
          <w:sz w:val="22"/>
          <w:szCs w:val="22"/>
        </w:rPr>
      </w:pPr>
      <w:r w:rsidRPr="009571FD">
        <w:rPr>
          <w:i/>
          <w:sz w:val="22"/>
          <w:szCs w:val="22"/>
        </w:rPr>
        <w:t>1 – Recognition of the need for structural and governance change</w:t>
      </w:r>
      <w:r w:rsidR="005E7EEA" w:rsidRPr="009571FD">
        <w:rPr>
          <w:i/>
          <w:sz w:val="22"/>
          <w:szCs w:val="22"/>
        </w:rPr>
        <w:t>.</w:t>
      </w:r>
    </w:p>
    <w:p w14:paraId="0000008A" w14:textId="6362C688" w:rsidR="00CF2104" w:rsidRPr="009571FD" w:rsidRDefault="00CB5E95" w:rsidP="00DC5830">
      <w:pPr>
        <w:spacing w:after="0"/>
        <w:jc w:val="both"/>
        <w:rPr>
          <w:i/>
          <w:sz w:val="22"/>
          <w:szCs w:val="22"/>
        </w:rPr>
      </w:pPr>
      <w:r w:rsidRPr="009571FD">
        <w:rPr>
          <w:i/>
          <w:sz w:val="22"/>
          <w:szCs w:val="22"/>
        </w:rPr>
        <w:t>2 – Formation of task forces, alliances and other informal ways of collaborating</w:t>
      </w:r>
      <w:r w:rsidR="005E7EEA" w:rsidRPr="009571FD">
        <w:rPr>
          <w:i/>
          <w:sz w:val="22"/>
          <w:szCs w:val="22"/>
        </w:rPr>
        <w:t>.</w:t>
      </w:r>
    </w:p>
    <w:p w14:paraId="0000008B" w14:textId="7027E952" w:rsidR="00CF2104" w:rsidRPr="009571FD" w:rsidRDefault="00CB5E95" w:rsidP="00DC5830">
      <w:pPr>
        <w:spacing w:after="0"/>
        <w:jc w:val="both"/>
        <w:rPr>
          <w:i/>
          <w:sz w:val="22"/>
          <w:szCs w:val="22"/>
        </w:rPr>
      </w:pPr>
      <w:r w:rsidRPr="009571FD">
        <w:rPr>
          <w:i/>
          <w:sz w:val="22"/>
          <w:szCs w:val="22"/>
        </w:rPr>
        <w:t>3 – Governance established at a regional or national level</w:t>
      </w:r>
      <w:r w:rsidR="005E7EEA" w:rsidRPr="009571FD">
        <w:rPr>
          <w:i/>
          <w:sz w:val="22"/>
          <w:szCs w:val="22"/>
        </w:rPr>
        <w:t>.</w:t>
      </w:r>
    </w:p>
    <w:p w14:paraId="0000008C" w14:textId="0EC59556" w:rsidR="00CF2104" w:rsidRPr="009571FD" w:rsidRDefault="00CB5E95" w:rsidP="00DC5830">
      <w:pPr>
        <w:spacing w:after="0"/>
        <w:jc w:val="both"/>
        <w:rPr>
          <w:i/>
          <w:sz w:val="22"/>
          <w:szCs w:val="22"/>
        </w:rPr>
      </w:pPr>
      <w:r w:rsidRPr="009571FD">
        <w:rPr>
          <w:i/>
          <w:sz w:val="22"/>
          <w:szCs w:val="22"/>
        </w:rPr>
        <w:t>4 – Roadmap for a change programme defined and accepted by stakeholders involved</w:t>
      </w:r>
      <w:r w:rsidR="005E7EEA" w:rsidRPr="009571FD">
        <w:rPr>
          <w:i/>
          <w:sz w:val="22"/>
          <w:szCs w:val="22"/>
        </w:rPr>
        <w:t>.</w:t>
      </w:r>
    </w:p>
    <w:p w14:paraId="0000008D" w14:textId="77777777" w:rsidR="00CF2104" w:rsidRPr="009571FD" w:rsidRDefault="00CB5E95" w:rsidP="009571FD">
      <w:pPr>
        <w:spacing w:after="240" w:line="240" w:lineRule="auto"/>
        <w:jc w:val="both"/>
        <w:rPr>
          <w:i/>
          <w:sz w:val="22"/>
          <w:szCs w:val="22"/>
        </w:rPr>
      </w:pPr>
      <w:r w:rsidRPr="009571FD">
        <w:rPr>
          <w:i/>
          <w:sz w:val="22"/>
          <w:szCs w:val="22"/>
        </w:rPr>
        <w:t>5 – Full, integrated programme established, with funding and a clear mandate.</w:t>
      </w:r>
    </w:p>
    <w:p w14:paraId="41676ECA" w14:textId="0B504211" w:rsidR="00692390" w:rsidRPr="00FB4987" w:rsidRDefault="000376DA" w:rsidP="00FB4987">
      <w:pPr>
        <w:pStyle w:val="Cmsor3"/>
      </w:pPr>
      <w:bookmarkStart w:id="11" w:name="_Toc167702770"/>
      <w:r>
        <w:t>3</w:t>
      </w:r>
      <w:r w:rsidR="00FB4987">
        <w:t>.2.3</w:t>
      </w:r>
      <w:r w:rsidR="00692390" w:rsidRPr="00FB4987">
        <w:t>. Funding</w:t>
      </w:r>
      <w:bookmarkEnd w:id="11"/>
    </w:p>
    <w:p w14:paraId="381217EC" w14:textId="77777777" w:rsidR="00692390" w:rsidRDefault="00692390" w:rsidP="00692390">
      <w:pPr>
        <w:jc w:val="both"/>
        <w:rPr>
          <w:b/>
        </w:rPr>
      </w:pPr>
      <w:r>
        <w:rPr>
          <w:b/>
        </w:rPr>
        <w:t>Objectives</w:t>
      </w:r>
    </w:p>
    <w:p w14:paraId="292C78BA" w14:textId="55282853" w:rsidR="00692390" w:rsidRDefault="00692390" w:rsidP="00692390">
      <w:pPr>
        <w:jc w:val="both"/>
      </w:pPr>
      <w:r>
        <w:t>Changing systems so that they can offer better solutions regarding digitalization requires initial investment and funding; a degree of operational funding during transition to the new models of care; and on-going financial support until the new way</w:t>
      </w:r>
      <w:r w:rsidR="006C241B">
        <w:t>s</w:t>
      </w:r>
      <w:r>
        <w:t xml:space="preserve"> of providing services are fully operational and the older ones are de-commissioned. Ensuring that initial and on-going costs can be financed is an essential activity that uses the full range of mechanisms from regional/national budgets to ‘stimulus’ funds, European Union investment funds, public-private partnerships (PPP) and risk-sharing mechanisms.</w:t>
      </w:r>
    </w:p>
    <w:p w14:paraId="2A202FB1" w14:textId="77777777" w:rsidR="00692390" w:rsidRPr="009571FD" w:rsidRDefault="00692390" w:rsidP="00692390">
      <w:pPr>
        <w:spacing w:line="240" w:lineRule="auto"/>
        <w:jc w:val="both"/>
        <w:rPr>
          <w:b/>
          <w:i/>
          <w:sz w:val="22"/>
          <w:szCs w:val="22"/>
          <w:u w:val="single"/>
        </w:rPr>
      </w:pPr>
      <w:r w:rsidRPr="009571FD">
        <w:rPr>
          <w:b/>
          <w:i/>
          <w:sz w:val="22"/>
          <w:szCs w:val="22"/>
          <w:u w:val="single"/>
        </w:rPr>
        <w:t>Assessment scale</w:t>
      </w:r>
    </w:p>
    <w:p w14:paraId="2FD27504" w14:textId="7A7FFBD0" w:rsidR="00692390" w:rsidRPr="009571FD" w:rsidRDefault="00692390" w:rsidP="00DC5830">
      <w:pPr>
        <w:spacing w:after="0"/>
        <w:jc w:val="both"/>
        <w:rPr>
          <w:i/>
          <w:sz w:val="22"/>
          <w:szCs w:val="22"/>
        </w:rPr>
      </w:pPr>
      <w:r w:rsidRPr="009571FD">
        <w:rPr>
          <w:i/>
          <w:sz w:val="22"/>
          <w:szCs w:val="22"/>
        </w:rPr>
        <w:t xml:space="preserve">0 – No additional funding is available to support the move towards </w:t>
      </w:r>
      <w:r w:rsidR="00FC4CF9" w:rsidRPr="009571FD">
        <w:rPr>
          <w:i/>
          <w:sz w:val="22"/>
          <w:szCs w:val="22"/>
        </w:rPr>
        <w:t>digital health.</w:t>
      </w:r>
    </w:p>
    <w:p w14:paraId="37DFDA85" w14:textId="2BDC4F49" w:rsidR="00692390" w:rsidRPr="009571FD" w:rsidRDefault="00692390" w:rsidP="00DC5830">
      <w:pPr>
        <w:spacing w:after="0"/>
        <w:jc w:val="both"/>
        <w:rPr>
          <w:i/>
          <w:sz w:val="22"/>
          <w:szCs w:val="22"/>
        </w:rPr>
      </w:pPr>
      <w:r w:rsidRPr="009571FD">
        <w:rPr>
          <w:i/>
          <w:sz w:val="22"/>
          <w:szCs w:val="22"/>
        </w:rPr>
        <w:t>1 – Funding is available but mainly for pilot projects and testing</w:t>
      </w:r>
      <w:r w:rsidR="00FC4CF9" w:rsidRPr="009571FD">
        <w:rPr>
          <w:i/>
          <w:sz w:val="22"/>
          <w:szCs w:val="22"/>
        </w:rPr>
        <w:t>.</w:t>
      </w:r>
    </w:p>
    <w:p w14:paraId="21CEDF68" w14:textId="40C2D928" w:rsidR="00692390" w:rsidRPr="009571FD" w:rsidRDefault="00692390" w:rsidP="00DC5830">
      <w:pPr>
        <w:spacing w:after="0"/>
        <w:jc w:val="both"/>
        <w:rPr>
          <w:i/>
          <w:sz w:val="22"/>
          <w:szCs w:val="22"/>
        </w:rPr>
      </w:pPr>
      <w:r w:rsidRPr="009571FD">
        <w:rPr>
          <w:i/>
          <w:sz w:val="22"/>
          <w:szCs w:val="22"/>
        </w:rPr>
        <w:t>2 – Consolidated innovation funding available through competitions/grants for individual care providers and small-scale implementation</w:t>
      </w:r>
      <w:r w:rsidR="00FC4CF9" w:rsidRPr="009571FD">
        <w:rPr>
          <w:i/>
          <w:sz w:val="22"/>
          <w:szCs w:val="22"/>
        </w:rPr>
        <w:t>.</w:t>
      </w:r>
    </w:p>
    <w:p w14:paraId="185D7060" w14:textId="39F0C0BF" w:rsidR="00692390" w:rsidRPr="009571FD" w:rsidRDefault="00692390" w:rsidP="00DC5830">
      <w:pPr>
        <w:spacing w:after="0"/>
        <w:jc w:val="both"/>
        <w:rPr>
          <w:i/>
          <w:sz w:val="22"/>
          <w:szCs w:val="22"/>
        </w:rPr>
      </w:pPr>
      <w:r w:rsidRPr="009571FD">
        <w:rPr>
          <w:i/>
          <w:sz w:val="22"/>
          <w:szCs w:val="22"/>
        </w:rPr>
        <w:t>3 – Regional/national (or European) funding or PPP for scaling-up is available</w:t>
      </w:r>
      <w:r w:rsidR="00FC4CF9" w:rsidRPr="009571FD">
        <w:rPr>
          <w:i/>
          <w:sz w:val="22"/>
          <w:szCs w:val="22"/>
        </w:rPr>
        <w:t>.</w:t>
      </w:r>
    </w:p>
    <w:p w14:paraId="53ACD350" w14:textId="15DCB559" w:rsidR="00692390" w:rsidRPr="009571FD" w:rsidRDefault="00692390" w:rsidP="00DC5830">
      <w:pPr>
        <w:spacing w:after="0"/>
        <w:jc w:val="both"/>
        <w:rPr>
          <w:i/>
          <w:sz w:val="22"/>
          <w:szCs w:val="22"/>
        </w:rPr>
      </w:pPr>
      <w:r w:rsidRPr="009571FD">
        <w:rPr>
          <w:i/>
          <w:sz w:val="22"/>
          <w:szCs w:val="22"/>
        </w:rPr>
        <w:t>4 – Regional/national funding and/or reimbursement schemes for on-going operations is available</w:t>
      </w:r>
      <w:r w:rsidR="00FC4CF9" w:rsidRPr="009571FD">
        <w:rPr>
          <w:i/>
          <w:sz w:val="22"/>
          <w:szCs w:val="22"/>
        </w:rPr>
        <w:t>.</w:t>
      </w:r>
    </w:p>
    <w:p w14:paraId="283385FF" w14:textId="4773B325" w:rsidR="00692390" w:rsidRPr="009571FD" w:rsidRDefault="00692390" w:rsidP="009571FD">
      <w:pPr>
        <w:spacing w:after="240" w:line="240" w:lineRule="auto"/>
        <w:jc w:val="both"/>
        <w:rPr>
          <w:i/>
          <w:sz w:val="22"/>
          <w:szCs w:val="22"/>
        </w:rPr>
      </w:pPr>
      <w:r w:rsidRPr="009571FD">
        <w:rPr>
          <w:i/>
          <w:sz w:val="22"/>
          <w:szCs w:val="22"/>
        </w:rPr>
        <w:t>5 – Secure multi-year budget and/or reimbursement schemes</w:t>
      </w:r>
      <w:r w:rsidR="006C241B" w:rsidRPr="009571FD">
        <w:rPr>
          <w:i/>
          <w:sz w:val="22"/>
          <w:szCs w:val="22"/>
        </w:rPr>
        <w:t xml:space="preserve"> are available and</w:t>
      </w:r>
      <w:r w:rsidRPr="009571FD">
        <w:rPr>
          <w:i/>
          <w:sz w:val="22"/>
          <w:szCs w:val="22"/>
        </w:rPr>
        <w:t xml:space="preserve"> accessible to all stakeholders, to enable further service development.</w:t>
      </w:r>
    </w:p>
    <w:p w14:paraId="588D0BC4" w14:textId="70F46000" w:rsidR="00FB4987" w:rsidRDefault="000376DA" w:rsidP="00FB4987">
      <w:pPr>
        <w:pStyle w:val="Cmsor3"/>
      </w:pPr>
      <w:bookmarkStart w:id="12" w:name="_Toc167702771"/>
      <w:r>
        <w:t>3</w:t>
      </w:r>
      <w:r w:rsidR="00FB4987">
        <w:t xml:space="preserve">.2.4. Data </w:t>
      </w:r>
      <w:r w:rsidR="00FB4987" w:rsidRPr="00FB4987">
        <w:t>Management</w:t>
      </w:r>
      <w:r w:rsidR="00FB4987">
        <w:t xml:space="preserve"> and Security</w:t>
      </w:r>
      <w:bookmarkEnd w:id="12"/>
    </w:p>
    <w:p w14:paraId="511DF422" w14:textId="77777777" w:rsidR="00FB4987" w:rsidRDefault="00FB4987" w:rsidP="00FB4987">
      <w:pPr>
        <w:jc w:val="both"/>
        <w:rPr>
          <w:b/>
        </w:rPr>
      </w:pPr>
      <w:r>
        <w:rPr>
          <w:b/>
        </w:rPr>
        <w:t>Objectives</w:t>
      </w:r>
    </w:p>
    <w:p w14:paraId="475D2D87" w14:textId="5CE55949" w:rsidR="00AB3E32" w:rsidRDefault="00AB3E32" w:rsidP="00FB4987">
      <w:pPr>
        <w:jc w:val="both"/>
      </w:pPr>
      <w:r w:rsidRPr="005E7EEA">
        <w:t xml:space="preserve">Regarding digital health solutions, data management and security are critical domains that impact patient privacy, quality of healthcare delivery and overall trust in health systems. </w:t>
      </w:r>
      <w:r w:rsidR="008520D7" w:rsidRPr="005E7EEA">
        <w:t>To accomplish</w:t>
      </w:r>
      <w:r w:rsidR="008520D7">
        <w:t xml:space="preserve"> </w:t>
      </w:r>
      <w:r w:rsidR="006C241B">
        <w:t xml:space="preserve">the </w:t>
      </w:r>
      <w:r w:rsidR="008520D7">
        <w:t xml:space="preserve">flourishing implementation of new solutions, a major requirement is a continuous effort to protect information while leveraging technology effectively. </w:t>
      </w:r>
      <w:r w:rsidR="006C241B">
        <w:t>To ensure the achievement of</w:t>
      </w:r>
      <w:r w:rsidR="008520D7">
        <w:t xml:space="preserve"> these goals, there is a need for robust data management plans, rules and programs which provide proactive measures and safeguards to hinder or at least mitigate data abuses and adverse effects of data utilisation within the healthcare system. Safety and reliable data management is </w:t>
      </w:r>
      <w:r w:rsidR="005E7EEA">
        <w:t>essential</w:t>
      </w:r>
      <w:r w:rsidR="008520D7">
        <w:t xml:space="preserve"> </w:t>
      </w:r>
      <w:r w:rsidR="005E7EEA">
        <w:t>in</w:t>
      </w:r>
      <w:r w:rsidR="00257633">
        <w:t xml:space="preserve"> the</w:t>
      </w:r>
      <w:r w:rsidR="005E7EEA">
        <w:t xml:space="preserve"> integration of any</w:t>
      </w:r>
      <w:r w:rsidR="008520D7">
        <w:t xml:space="preserve"> digital health</w:t>
      </w:r>
      <w:r w:rsidR="005E7EEA">
        <w:t xml:space="preserve"> solution</w:t>
      </w:r>
      <w:r w:rsidR="008520D7">
        <w:t xml:space="preserve">. </w:t>
      </w:r>
    </w:p>
    <w:p w14:paraId="20905C22" w14:textId="491E2ADF" w:rsidR="00FB4987" w:rsidRDefault="00257633" w:rsidP="00FB4987">
      <w:pPr>
        <w:numPr>
          <w:ilvl w:val="0"/>
          <w:numId w:val="13"/>
        </w:numPr>
        <w:pBdr>
          <w:top w:val="nil"/>
          <w:left w:val="nil"/>
          <w:bottom w:val="nil"/>
          <w:right w:val="nil"/>
          <w:between w:val="nil"/>
        </w:pBdr>
        <w:spacing w:after="0"/>
        <w:jc w:val="both"/>
        <w:rPr>
          <w:color w:val="000000"/>
        </w:rPr>
      </w:pPr>
      <w:r>
        <w:rPr>
          <w:color w:val="000000"/>
        </w:rPr>
        <w:lastRenderedPageBreak/>
        <w:t>Ensuring that d</w:t>
      </w:r>
      <w:r w:rsidR="00FB4987">
        <w:rPr>
          <w:color w:val="000000"/>
        </w:rPr>
        <w:t xml:space="preserve">ata protection and security </w:t>
      </w:r>
      <w:r>
        <w:rPr>
          <w:color w:val="000000"/>
        </w:rPr>
        <w:t xml:space="preserve">are </w:t>
      </w:r>
      <w:r w:rsidR="00FB4987">
        <w:rPr>
          <w:color w:val="000000"/>
        </w:rPr>
        <w:t xml:space="preserve">designed </w:t>
      </w:r>
      <w:r>
        <w:rPr>
          <w:color w:val="000000"/>
        </w:rPr>
        <w:t xml:space="preserve">for </w:t>
      </w:r>
      <w:r w:rsidR="00FB4987">
        <w:rPr>
          <w:color w:val="000000"/>
        </w:rPr>
        <w:t>patient records, registries and online services.</w:t>
      </w:r>
    </w:p>
    <w:p w14:paraId="4003C4C7" w14:textId="417DA2F0" w:rsidR="00FB4987" w:rsidRPr="00FB4987" w:rsidRDefault="00257633" w:rsidP="009571FD">
      <w:pPr>
        <w:numPr>
          <w:ilvl w:val="0"/>
          <w:numId w:val="13"/>
        </w:numPr>
        <w:pBdr>
          <w:top w:val="nil"/>
          <w:left w:val="nil"/>
          <w:bottom w:val="nil"/>
          <w:right w:val="nil"/>
          <w:between w:val="nil"/>
        </w:pBdr>
        <w:ind w:left="714" w:hanging="357"/>
        <w:jc w:val="both"/>
        <w:rPr>
          <w:color w:val="000000"/>
        </w:rPr>
      </w:pPr>
      <w:r>
        <w:rPr>
          <w:color w:val="000000"/>
        </w:rPr>
        <w:t xml:space="preserve">Provision </w:t>
      </w:r>
      <w:r w:rsidR="00FB4987" w:rsidRPr="00FB4987">
        <w:rPr>
          <w:color w:val="000000"/>
        </w:rPr>
        <w:t xml:space="preserve">of </w:t>
      </w:r>
      <w:r w:rsidR="005E7EEA">
        <w:rPr>
          <w:color w:val="000000"/>
        </w:rPr>
        <w:t>secure and reliable data management systems</w:t>
      </w:r>
      <w:r w:rsidR="00FB4987" w:rsidRPr="00FB4987">
        <w:rPr>
          <w:color w:val="000000"/>
        </w:rPr>
        <w:t xml:space="preserve"> for healthcare delivery and new services based on advanced communication and data processing technologies.</w:t>
      </w:r>
    </w:p>
    <w:p w14:paraId="72F73570" w14:textId="77777777" w:rsidR="00FB4987" w:rsidRPr="009571FD" w:rsidRDefault="00FB4987" w:rsidP="00FB4987">
      <w:pPr>
        <w:spacing w:line="240" w:lineRule="auto"/>
        <w:jc w:val="both"/>
        <w:rPr>
          <w:b/>
          <w:i/>
          <w:sz w:val="22"/>
          <w:szCs w:val="22"/>
          <w:u w:val="single"/>
        </w:rPr>
      </w:pPr>
      <w:r w:rsidRPr="009571FD">
        <w:rPr>
          <w:b/>
          <w:i/>
          <w:sz w:val="22"/>
          <w:szCs w:val="22"/>
          <w:u w:val="single"/>
        </w:rPr>
        <w:t>Assessment scale</w:t>
      </w:r>
    </w:p>
    <w:p w14:paraId="79A3B230" w14:textId="705B849F" w:rsidR="005E7EEA" w:rsidRPr="009571FD" w:rsidRDefault="005E7EEA" w:rsidP="00DC5830">
      <w:pPr>
        <w:spacing w:after="0"/>
        <w:jc w:val="both"/>
        <w:rPr>
          <w:i/>
          <w:sz w:val="22"/>
          <w:szCs w:val="22"/>
        </w:rPr>
      </w:pPr>
      <w:r w:rsidRPr="009571FD">
        <w:rPr>
          <w:i/>
          <w:sz w:val="22"/>
          <w:szCs w:val="22"/>
        </w:rPr>
        <w:t xml:space="preserve">0 – No </w:t>
      </w:r>
      <w:r w:rsidR="00C0700C" w:rsidRPr="009571FD">
        <w:rPr>
          <w:i/>
          <w:sz w:val="22"/>
          <w:szCs w:val="22"/>
        </w:rPr>
        <w:t xml:space="preserve">awareness of need for </w:t>
      </w:r>
      <w:r w:rsidRPr="009571FD">
        <w:rPr>
          <w:i/>
          <w:sz w:val="22"/>
          <w:szCs w:val="22"/>
        </w:rPr>
        <w:t>data management guidelines or standards on digital solutions in healthcare services.</w:t>
      </w:r>
    </w:p>
    <w:p w14:paraId="17F7D1AD" w14:textId="73E627CD" w:rsidR="005E7EEA" w:rsidRPr="009571FD" w:rsidRDefault="005E7EEA" w:rsidP="00DC5830">
      <w:pPr>
        <w:spacing w:after="0"/>
        <w:jc w:val="both"/>
        <w:rPr>
          <w:i/>
          <w:sz w:val="22"/>
          <w:szCs w:val="22"/>
        </w:rPr>
      </w:pPr>
      <w:r w:rsidRPr="009571FD">
        <w:rPr>
          <w:i/>
          <w:sz w:val="22"/>
          <w:szCs w:val="22"/>
        </w:rPr>
        <w:t xml:space="preserve">1 – The stakeholders recognise the need for </w:t>
      </w:r>
      <w:r w:rsidR="00C0700C" w:rsidRPr="009571FD">
        <w:rPr>
          <w:i/>
          <w:sz w:val="22"/>
          <w:szCs w:val="22"/>
        </w:rPr>
        <w:t xml:space="preserve">data management programs and </w:t>
      </w:r>
      <w:r w:rsidRPr="009571FD">
        <w:rPr>
          <w:i/>
          <w:sz w:val="22"/>
          <w:szCs w:val="22"/>
        </w:rPr>
        <w:t xml:space="preserve">safety measures for digital health solutions, but there are no formal plans </w:t>
      </w:r>
      <w:r w:rsidR="00257633" w:rsidRPr="009571FD">
        <w:rPr>
          <w:i/>
          <w:sz w:val="22"/>
          <w:szCs w:val="22"/>
        </w:rPr>
        <w:t xml:space="preserve">for </w:t>
      </w:r>
      <w:r w:rsidRPr="009571FD">
        <w:rPr>
          <w:i/>
          <w:sz w:val="22"/>
          <w:szCs w:val="22"/>
        </w:rPr>
        <w:t>develop</w:t>
      </w:r>
      <w:r w:rsidR="00257633" w:rsidRPr="009571FD">
        <w:rPr>
          <w:i/>
          <w:sz w:val="22"/>
          <w:szCs w:val="22"/>
        </w:rPr>
        <w:t>ment</w:t>
      </w:r>
    </w:p>
    <w:p w14:paraId="1933A59A" w14:textId="1BF38C37" w:rsidR="005E7EEA" w:rsidRPr="009571FD" w:rsidRDefault="005E7EEA" w:rsidP="00DC5830">
      <w:pPr>
        <w:spacing w:after="0"/>
        <w:jc w:val="both"/>
        <w:rPr>
          <w:i/>
          <w:sz w:val="22"/>
          <w:szCs w:val="22"/>
        </w:rPr>
      </w:pPr>
      <w:r w:rsidRPr="009571FD">
        <w:rPr>
          <w:i/>
          <w:sz w:val="22"/>
          <w:szCs w:val="22"/>
        </w:rPr>
        <w:t xml:space="preserve">2 – Some </w:t>
      </w:r>
      <w:r w:rsidR="00C0700C" w:rsidRPr="009571FD">
        <w:rPr>
          <w:i/>
          <w:sz w:val="22"/>
          <w:szCs w:val="22"/>
        </w:rPr>
        <w:t xml:space="preserve">data management </w:t>
      </w:r>
      <w:r w:rsidRPr="009571FD">
        <w:rPr>
          <w:i/>
          <w:sz w:val="22"/>
          <w:szCs w:val="22"/>
        </w:rPr>
        <w:t xml:space="preserve">guidelines are </w:t>
      </w:r>
      <w:r w:rsidR="00C0700C" w:rsidRPr="009571FD">
        <w:rPr>
          <w:i/>
          <w:sz w:val="22"/>
          <w:szCs w:val="22"/>
        </w:rPr>
        <w:t xml:space="preserve">developed and </w:t>
      </w:r>
      <w:r w:rsidRPr="009571FD">
        <w:rPr>
          <w:i/>
          <w:sz w:val="22"/>
          <w:szCs w:val="22"/>
        </w:rPr>
        <w:t xml:space="preserve">used, some </w:t>
      </w:r>
      <w:r w:rsidR="00C0700C" w:rsidRPr="009571FD">
        <w:rPr>
          <w:i/>
          <w:sz w:val="22"/>
          <w:szCs w:val="22"/>
        </w:rPr>
        <w:t>safety measures for digital health solutions</w:t>
      </w:r>
      <w:r w:rsidRPr="009571FD">
        <w:rPr>
          <w:i/>
          <w:sz w:val="22"/>
          <w:szCs w:val="22"/>
        </w:rPr>
        <w:t xml:space="preserve"> are formally described, but no systematic approach is planned.</w:t>
      </w:r>
    </w:p>
    <w:p w14:paraId="6D64D0EC" w14:textId="5DD6CAB2" w:rsidR="005E7EEA" w:rsidRPr="009571FD" w:rsidRDefault="005E7EEA" w:rsidP="00DC5830">
      <w:pPr>
        <w:spacing w:after="0"/>
        <w:jc w:val="both"/>
        <w:rPr>
          <w:i/>
          <w:sz w:val="22"/>
          <w:szCs w:val="22"/>
        </w:rPr>
      </w:pPr>
      <w:r w:rsidRPr="009571FD">
        <w:rPr>
          <w:i/>
          <w:sz w:val="22"/>
          <w:szCs w:val="22"/>
        </w:rPr>
        <w:t xml:space="preserve">3 – </w:t>
      </w:r>
      <w:r w:rsidR="00C0700C" w:rsidRPr="009571FD">
        <w:rPr>
          <w:i/>
          <w:sz w:val="22"/>
          <w:szCs w:val="22"/>
        </w:rPr>
        <w:t>Data management programs and security measures for d</w:t>
      </w:r>
      <w:r w:rsidRPr="009571FD">
        <w:rPr>
          <w:i/>
          <w:sz w:val="22"/>
          <w:szCs w:val="22"/>
        </w:rPr>
        <w:t xml:space="preserve">igital health solutions are formally described in a </w:t>
      </w:r>
      <w:r w:rsidR="00C0700C" w:rsidRPr="009571FD">
        <w:rPr>
          <w:i/>
          <w:sz w:val="22"/>
          <w:szCs w:val="22"/>
        </w:rPr>
        <w:t>systematic</w:t>
      </w:r>
      <w:r w:rsidRPr="009571FD">
        <w:rPr>
          <w:i/>
          <w:sz w:val="22"/>
          <w:szCs w:val="22"/>
        </w:rPr>
        <w:t xml:space="preserve"> way by the stakeholders. </w:t>
      </w:r>
    </w:p>
    <w:p w14:paraId="4FAFCE9E" w14:textId="285CAA7A" w:rsidR="005E7EEA" w:rsidRPr="009571FD" w:rsidRDefault="005E7EEA" w:rsidP="00DC5830">
      <w:pPr>
        <w:spacing w:after="0"/>
        <w:jc w:val="both"/>
        <w:rPr>
          <w:i/>
          <w:sz w:val="22"/>
          <w:szCs w:val="22"/>
        </w:rPr>
      </w:pPr>
      <w:r w:rsidRPr="009571FD">
        <w:rPr>
          <w:i/>
          <w:sz w:val="22"/>
          <w:szCs w:val="22"/>
        </w:rPr>
        <w:t xml:space="preserve">4 – Most digital health solutions are subject to systematic </w:t>
      </w:r>
      <w:r w:rsidR="00C0700C" w:rsidRPr="009571FD">
        <w:rPr>
          <w:i/>
          <w:sz w:val="22"/>
          <w:szCs w:val="22"/>
        </w:rPr>
        <w:t>data management program</w:t>
      </w:r>
      <w:r w:rsidR="00257633" w:rsidRPr="009571FD">
        <w:rPr>
          <w:i/>
          <w:sz w:val="22"/>
          <w:szCs w:val="22"/>
        </w:rPr>
        <w:t>me</w:t>
      </w:r>
      <w:r w:rsidR="00C0700C" w:rsidRPr="009571FD">
        <w:rPr>
          <w:i/>
          <w:sz w:val="22"/>
          <w:szCs w:val="22"/>
        </w:rPr>
        <w:t>s and security measures</w:t>
      </w:r>
      <w:r w:rsidRPr="009571FD">
        <w:rPr>
          <w:i/>
          <w:sz w:val="22"/>
          <w:szCs w:val="22"/>
        </w:rPr>
        <w:t xml:space="preserve">, </w:t>
      </w:r>
      <w:r w:rsidR="00C0700C" w:rsidRPr="009571FD">
        <w:rPr>
          <w:i/>
          <w:sz w:val="22"/>
          <w:szCs w:val="22"/>
        </w:rPr>
        <w:t>which are</w:t>
      </w:r>
      <w:r w:rsidRPr="009571FD">
        <w:rPr>
          <w:i/>
          <w:sz w:val="22"/>
          <w:szCs w:val="22"/>
        </w:rPr>
        <w:t xml:space="preserve"> deployed throughout the whole region/country.</w:t>
      </w:r>
    </w:p>
    <w:p w14:paraId="404F4AF2" w14:textId="561CFE29" w:rsidR="00FB4987" w:rsidRPr="009571FD" w:rsidRDefault="005E7EEA" w:rsidP="009571FD">
      <w:pPr>
        <w:spacing w:after="240" w:line="240" w:lineRule="auto"/>
        <w:jc w:val="both"/>
        <w:rPr>
          <w:i/>
          <w:sz w:val="22"/>
          <w:szCs w:val="22"/>
        </w:rPr>
      </w:pPr>
      <w:r w:rsidRPr="009571FD">
        <w:rPr>
          <w:i/>
          <w:sz w:val="22"/>
          <w:szCs w:val="22"/>
        </w:rPr>
        <w:t xml:space="preserve">5 – A systematic approach to </w:t>
      </w:r>
      <w:r w:rsidR="00C0700C" w:rsidRPr="009571FD">
        <w:rPr>
          <w:i/>
          <w:sz w:val="22"/>
          <w:szCs w:val="22"/>
        </w:rPr>
        <w:t>data management and security</w:t>
      </w:r>
      <w:r w:rsidRPr="009571FD">
        <w:rPr>
          <w:i/>
          <w:sz w:val="22"/>
          <w:szCs w:val="22"/>
        </w:rPr>
        <w:t xml:space="preserve"> of digital health solutions is in place across the region/country. </w:t>
      </w:r>
    </w:p>
    <w:p w14:paraId="0000008E" w14:textId="1C72CD58" w:rsidR="00CF2104" w:rsidRDefault="000376DA">
      <w:pPr>
        <w:pStyle w:val="Cmsor3"/>
        <w:jc w:val="both"/>
      </w:pPr>
      <w:bookmarkStart w:id="13" w:name="_Toc167702772"/>
      <w:r>
        <w:t>3</w:t>
      </w:r>
      <w:r w:rsidR="006C1BEB">
        <w:t>.2.5</w:t>
      </w:r>
      <w:r w:rsidR="00CB5E95">
        <w:t>. Digital Infrastructure</w:t>
      </w:r>
      <w:bookmarkEnd w:id="13"/>
    </w:p>
    <w:p w14:paraId="0000008F" w14:textId="77777777" w:rsidR="00CF2104" w:rsidRDefault="00CB5E95">
      <w:pPr>
        <w:jc w:val="both"/>
        <w:rPr>
          <w:b/>
        </w:rPr>
      </w:pPr>
      <w:r>
        <w:rPr>
          <w:b/>
        </w:rPr>
        <w:t>Objectives</w:t>
      </w:r>
    </w:p>
    <w:p w14:paraId="00000090" w14:textId="782506F1" w:rsidR="00CF2104" w:rsidRDefault="00FB4987">
      <w:pPr>
        <w:jc w:val="both"/>
      </w:pPr>
      <w:r>
        <w:t>Digital health solutions require</w:t>
      </w:r>
      <w:r w:rsidR="00CB5E95">
        <w:t xml:space="preserve"> data-sharing across diverse </w:t>
      </w:r>
      <w:r>
        <w:t>providers and other actors of the healthcare system</w:t>
      </w:r>
      <w:r w:rsidR="003E27CC">
        <w:t>,</w:t>
      </w:r>
      <w:r w:rsidR="00CB5E95">
        <w:t xml:space="preserve"> </w:t>
      </w:r>
      <w:r w:rsidR="00257633">
        <w:t xml:space="preserve">which progressively </w:t>
      </w:r>
      <w:r w:rsidR="00CB5E95">
        <w:t xml:space="preserve">leads to systems that enable continuous collaboration, and the measurement and management of outcomes. This </w:t>
      </w:r>
      <w:r w:rsidR="00257633">
        <w:t xml:space="preserve">requires </w:t>
      </w:r>
      <w:r w:rsidR="00CB5E95">
        <w:t xml:space="preserve">building on existing digital infrastructure in new ways to support integration and augmenting them with new capabilities such as enhanced security and mobility. The task can be </w:t>
      </w:r>
      <w:r w:rsidR="00257633">
        <w:t>facilitated by ensuring</w:t>
      </w:r>
      <w:r w:rsidR="00CB5E95">
        <w:t xml:space="preserve"> </w:t>
      </w:r>
      <w:r w:rsidR="00257633">
        <w:t xml:space="preserve">that </w:t>
      </w:r>
      <w:r w:rsidR="00CB5E95">
        <w:t>the number of different systems in use, and the formats in which they exchange a</w:t>
      </w:r>
      <w:r>
        <w:t xml:space="preserve">nd store data, </w:t>
      </w:r>
      <w:r w:rsidR="00257633">
        <w:t>are</w:t>
      </w:r>
      <w:r>
        <w:t xml:space="preserve"> interoperable</w:t>
      </w:r>
      <w:r w:rsidR="00CB5E95">
        <w:t>.</w:t>
      </w:r>
    </w:p>
    <w:p w14:paraId="00000091" w14:textId="7F184B26" w:rsidR="00CF2104" w:rsidRDefault="00CB5E95">
      <w:pPr>
        <w:jc w:val="both"/>
      </w:pPr>
      <w:r>
        <w:t>Important elements of digital infrastructure</w:t>
      </w:r>
      <w:r w:rsidR="00FB4987">
        <w:t xml:space="preserve"> in health care</w:t>
      </w:r>
      <w:r>
        <w:t xml:space="preserve"> include:</w:t>
      </w:r>
    </w:p>
    <w:p w14:paraId="00000092" w14:textId="77777777" w:rsidR="00CF2104" w:rsidRDefault="00CB5E95">
      <w:pPr>
        <w:numPr>
          <w:ilvl w:val="0"/>
          <w:numId w:val="13"/>
        </w:numPr>
        <w:pBdr>
          <w:top w:val="nil"/>
          <w:left w:val="nil"/>
          <w:bottom w:val="nil"/>
          <w:right w:val="nil"/>
          <w:between w:val="nil"/>
        </w:pBdr>
        <w:spacing w:after="0"/>
        <w:jc w:val="both"/>
        <w:rPr>
          <w:color w:val="000000"/>
        </w:rPr>
      </w:pPr>
      <w:r>
        <w:rPr>
          <w:color w:val="000000"/>
        </w:rPr>
        <w:t>‘Digital first’ policy (i.e. move face-to-face communication to digital services to reduce dependence on staff and promote self-service).</w:t>
      </w:r>
    </w:p>
    <w:p w14:paraId="00000093" w14:textId="77777777" w:rsidR="00CF2104" w:rsidRDefault="00CB5E95">
      <w:pPr>
        <w:numPr>
          <w:ilvl w:val="0"/>
          <w:numId w:val="13"/>
        </w:numPr>
        <w:pBdr>
          <w:top w:val="nil"/>
          <w:left w:val="nil"/>
          <w:bottom w:val="nil"/>
          <w:right w:val="nil"/>
          <w:between w:val="nil"/>
        </w:pBdr>
        <w:spacing w:after="0"/>
        <w:jc w:val="both"/>
        <w:rPr>
          <w:color w:val="000000"/>
        </w:rPr>
      </w:pPr>
      <w:r>
        <w:rPr>
          <w:color w:val="000000"/>
        </w:rPr>
        <w:t>Availability of essential components (ICT infrastructure) to enable data-sharing.</w:t>
      </w:r>
    </w:p>
    <w:p w14:paraId="00000096" w14:textId="18A8F32F" w:rsidR="00CF2104" w:rsidRPr="006C1BEB" w:rsidRDefault="00CB5E95" w:rsidP="009571FD">
      <w:pPr>
        <w:numPr>
          <w:ilvl w:val="0"/>
          <w:numId w:val="13"/>
        </w:numPr>
        <w:pBdr>
          <w:top w:val="nil"/>
          <w:left w:val="nil"/>
          <w:bottom w:val="nil"/>
          <w:right w:val="nil"/>
          <w:between w:val="nil"/>
        </w:pBdr>
        <w:ind w:left="714" w:hanging="357"/>
        <w:jc w:val="both"/>
        <w:rPr>
          <w:color w:val="000000"/>
        </w:rPr>
      </w:pPr>
      <w:r>
        <w:rPr>
          <w:color w:val="000000"/>
        </w:rPr>
        <w:t>Consolidation and standardisation of ICT infrastructure and solutions; fewer technical integration points to manage; interoperability and procurement.</w:t>
      </w:r>
    </w:p>
    <w:p w14:paraId="00000097" w14:textId="77777777" w:rsidR="00CF2104" w:rsidRPr="009571FD" w:rsidRDefault="00CB5E95" w:rsidP="009571FD">
      <w:pPr>
        <w:keepNext/>
        <w:spacing w:line="240" w:lineRule="auto"/>
        <w:jc w:val="both"/>
        <w:rPr>
          <w:b/>
          <w:i/>
          <w:sz w:val="22"/>
          <w:szCs w:val="22"/>
          <w:u w:val="single"/>
        </w:rPr>
      </w:pPr>
      <w:r w:rsidRPr="009571FD">
        <w:rPr>
          <w:b/>
          <w:i/>
          <w:sz w:val="22"/>
          <w:szCs w:val="22"/>
          <w:u w:val="single"/>
        </w:rPr>
        <w:t>Assessment scale</w:t>
      </w:r>
    </w:p>
    <w:p w14:paraId="4381F1C8" w14:textId="77777777" w:rsidR="00C74BCA" w:rsidRPr="009571FD" w:rsidRDefault="00C74BCA" w:rsidP="00DC5830">
      <w:pPr>
        <w:spacing w:after="0"/>
        <w:jc w:val="both"/>
        <w:rPr>
          <w:i/>
          <w:sz w:val="22"/>
          <w:szCs w:val="22"/>
        </w:rPr>
      </w:pPr>
      <w:r w:rsidRPr="009571FD">
        <w:rPr>
          <w:i/>
          <w:sz w:val="22"/>
          <w:szCs w:val="22"/>
        </w:rPr>
        <w:t>0 – There is no infrastructure to support digital health.</w:t>
      </w:r>
    </w:p>
    <w:p w14:paraId="6B256E1B" w14:textId="42F16F40" w:rsidR="00C74BCA" w:rsidRPr="009571FD" w:rsidRDefault="00C74BCA" w:rsidP="00DC5830">
      <w:pPr>
        <w:spacing w:after="0"/>
        <w:jc w:val="both"/>
        <w:rPr>
          <w:i/>
          <w:sz w:val="22"/>
          <w:szCs w:val="22"/>
        </w:rPr>
      </w:pPr>
      <w:r w:rsidRPr="009571FD">
        <w:rPr>
          <w:i/>
          <w:sz w:val="22"/>
          <w:szCs w:val="22"/>
        </w:rPr>
        <w:t>1</w:t>
      </w:r>
      <w:r w:rsidR="00FC4CF9" w:rsidRPr="009571FD">
        <w:rPr>
          <w:i/>
          <w:sz w:val="22"/>
          <w:szCs w:val="22"/>
        </w:rPr>
        <w:t xml:space="preserve"> – </w:t>
      </w:r>
      <w:r w:rsidRPr="009571FD">
        <w:rPr>
          <w:i/>
          <w:sz w:val="22"/>
          <w:szCs w:val="22"/>
        </w:rPr>
        <w:t>The need is recognised, but there is no strategy and/or plan for deploying and standardising infrastructure to support digital health.</w:t>
      </w:r>
    </w:p>
    <w:p w14:paraId="15FDE398" w14:textId="0C0C9C3E" w:rsidR="00C74BCA" w:rsidRPr="009571FD" w:rsidRDefault="00C74BCA" w:rsidP="00DC5830">
      <w:pPr>
        <w:spacing w:after="0"/>
        <w:jc w:val="both"/>
        <w:rPr>
          <w:i/>
          <w:sz w:val="22"/>
          <w:szCs w:val="22"/>
        </w:rPr>
      </w:pPr>
      <w:r w:rsidRPr="009571FD">
        <w:rPr>
          <w:i/>
          <w:sz w:val="22"/>
          <w:szCs w:val="22"/>
        </w:rPr>
        <w:t>2 – There is a mandate and plan(s) to deploy regional/national digital infrastructure</w:t>
      </w:r>
      <w:r w:rsidR="00257633" w:rsidRPr="009571FD">
        <w:rPr>
          <w:i/>
          <w:sz w:val="22"/>
          <w:szCs w:val="22"/>
        </w:rPr>
        <w:t xml:space="preserve"> -</w:t>
      </w:r>
      <w:r w:rsidRPr="009571FD">
        <w:rPr>
          <w:i/>
          <w:sz w:val="22"/>
          <w:szCs w:val="22"/>
        </w:rPr>
        <w:t xml:space="preserve"> including a set of agreed technical standards</w:t>
      </w:r>
      <w:r w:rsidR="00257633" w:rsidRPr="009571FD">
        <w:rPr>
          <w:i/>
          <w:sz w:val="22"/>
          <w:szCs w:val="22"/>
        </w:rPr>
        <w:t xml:space="preserve"> -</w:t>
      </w:r>
      <w:r w:rsidRPr="009571FD">
        <w:rPr>
          <w:i/>
          <w:sz w:val="22"/>
          <w:szCs w:val="22"/>
        </w:rPr>
        <w:t xml:space="preserve"> across the healthcare system, but </w:t>
      </w:r>
      <w:r w:rsidR="00257633" w:rsidRPr="009571FD">
        <w:rPr>
          <w:i/>
          <w:sz w:val="22"/>
          <w:szCs w:val="22"/>
        </w:rPr>
        <w:t>these are</w:t>
      </w:r>
      <w:r w:rsidRPr="009571FD">
        <w:rPr>
          <w:i/>
          <w:sz w:val="22"/>
          <w:szCs w:val="22"/>
        </w:rPr>
        <w:t xml:space="preserve"> not yet implemented.</w:t>
      </w:r>
    </w:p>
    <w:p w14:paraId="4810F358" w14:textId="22C2C66E" w:rsidR="00C74BCA" w:rsidRPr="009571FD" w:rsidRDefault="00C74BCA" w:rsidP="00DC5830">
      <w:pPr>
        <w:spacing w:after="0"/>
        <w:jc w:val="both"/>
        <w:rPr>
          <w:i/>
          <w:sz w:val="22"/>
          <w:szCs w:val="22"/>
        </w:rPr>
      </w:pPr>
      <w:r w:rsidRPr="009571FD">
        <w:rPr>
          <w:i/>
          <w:sz w:val="22"/>
          <w:szCs w:val="22"/>
        </w:rPr>
        <w:lastRenderedPageBreak/>
        <w:t>3 – Infrastructure to support digital health are piloted but region</w:t>
      </w:r>
      <w:r w:rsidR="00257633" w:rsidRPr="009571FD">
        <w:rPr>
          <w:i/>
          <w:sz w:val="22"/>
          <w:szCs w:val="22"/>
        </w:rPr>
        <w:t>/country</w:t>
      </w:r>
      <w:r w:rsidRPr="009571FD">
        <w:rPr>
          <w:i/>
          <w:sz w:val="22"/>
          <w:szCs w:val="22"/>
        </w:rPr>
        <w:t>-wide coverage</w:t>
      </w:r>
      <w:r w:rsidR="00257633" w:rsidRPr="009571FD">
        <w:rPr>
          <w:i/>
          <w:sz w:val="22"/>
          <w:szCs w:val="22"/>
        </w:rPr>
        <w:t xml:space="preserve"> is not yet available</w:t>
      </w:r>
      <w:r w:rsidRPr="009571FD">
        <w:rPr>
          <w:i/>
          <w:sz w:val="22"/>
          <w:szCs w:val="22"/>
        </w:rPr>
        <w:t>. A set of agreed technical standards exists to enable shared procurement of new systems; some large-scale consolidations of ICT are underway.</w:t>
      </w:r>
    </w:p>
    <w:p w14:paraId="4D54487E" w14:textId="77777777" w:rsidR="00C74BCA" w:rsidRPr="009571FD" w:rsidRDefault="00C74BCA" w:rsidP="00DC5830">
      <w:pPr>
        <w:spacing w:after="0"/>
        <w:jc w:val="both"/>
        <w:rPr>
          <w:i/>
          <w:sz w:val="22"/>
          <w:szCs w:val="22"/>
        </w:rPr>
      </w:pPr>
      <w:r w:rsidRPr="009571FD">
        <w:rPr>
          <w:i/>
          <w:sz w:val="22"/>
          <w:szCs w:val="22"/>
        </w:rPr>
        <w:t>4 – Infrastructure to support digital health is deployed widely at a large scale but is not used by all stakeholders involved. A unified set of agreed standards is published; many shared procurements of new systems have been performed; shared services are widely deployed.</w:t>
      </w:r>
    </w:p>
    <w:p w14:paraId="0000009D" w14:textId="749CDEB5" w:rsidR="00CF2104" w:rsidRPr="009571FD" w:rsidRDefault="00C74BCA" w:rsidP="009571FD">
      <w:pPr>
        <w:spacing w:after="240" w:line="240" w:lineRule="auto"/>
        <w:jc w:val="both"/>
        <w:rPr>
          <w:i/>
          <w:sz w:val="22"/>
          <w:szCs w:val="22"/>
        </w:rPr>
      </w:pPr>
      <w:r w:rsidRPr="009571FD">
        <w:rPr>
          <w:i/>
          <w:sz w:val="22"/>
          <w:szCs w:val="22"/>
        </w:rPr>
        <w:t xml:space="preserve">5 – </w:t>
      </w:r>
      <w:r w:rsidR="00811E26" w:rsidRPr="009571FD">
        <w:rPr>
          <w:i/>
          <w:sz w:val="22"/>
          <w:szCs w:val="22"/>
        </w:rPr>
        <w:t>There exists a u</w:t>
      </w:r>
      <w:r w:rsidRPr="009571FD">
        <w:rPr>
          <w:i/>
          <w:sz w:val="22"/>
          <w:szCs w:val="22"/>
        </w:rPr>
        <w:t>niversal, at-scale regional/national digital infrastructure used by all stakeholders involved. A unified and mandated set of agreed standards is fully incorporated into procurement processes; the systems are fully interoperable, and the use of shared services (including the cloud) is normal practice</w:t>
      </w:r>
      <w:r w:rsidR="00CB5E95" w:rsidRPr="009571FD">
        <w:rPr>
          <w:i/>
          <w:sz w:val="22"/>
          <w:szCs w:val="22"/>
        </w:rPr>
        <w:t>.</w:t>
      </w:r>
    </w:p>
    <w:p w14:paraId="0000009E" w14:textId="1C342352" w:rsidR="00CF2104" w:rsidRDefault="000376DA">
      <w:pPr>
        <w:pStyle w:val="Cmsor3"/>
        <w:jc w:val="both"/>
      </w:pPr>
      <w:bookmarkStart w:id="14" w:name="_Toc167702773"/>
      <w:r>
        <w:t>3</w:t>
      </w:r>
      <w:r w:rsidR="006C1BEB">
        <w:t>.2.6. Inte</w:t>
      </w:r>
      <w:r w:rsidR="006C1BEB" w:rsidRPr="006C1BEB">
        <w:t>grating Digital Solutions into Hea</w:t>
      </w:r>
      <w:r w:rsidR="00C74BCA">
        <w:t>l</w:t>
      </w:r>
      <w:r w:rsidR="006C1BEB" w:rsidRPr="006C1BEB">
        <w:t>th Services</w:t>
      </w:r>
      <w:bookmarkEnd w:id="14"/>
    </w:p>
    <w:p w14:paraId="0000009F" w14:textId="77777777" w:rsidR="00CF2104" w:rsidRDefault="00CB5E95">
      <w:pPr>
        <w:jc w:val="both"/>
        <w:rPr>
          <w:b/>
        </w:rPr>
      </w:pPr>
      <w:r>
        <w:rPr>
          <w:b/>
        </w:rPr>
        <w:t>Objectives</w:t>
      </w:r>
    </w:p>
    <w:p w14:paraId="000000A0" w14:textId="6B17F26A" w:rsidR="00CF2104" w:rsidRDefault="00CB5E95">
      <w:pPr>
        <w:jc w:val="both"/>
      </w:pPr>
      <w:r>
        <w:t>Healthcare delivery is a complex series of processes that are linked</w:t>
      </w:r>
      <w:r w:rsidR="00811E26">
        <w:t xml:space="preserve"> together</w:t>
      </w:r>
      <w:r>
        <w:t xml:space="preserve"> and interact to achieve specified outcomes. </w:t>
      </w:r>
      <w:r w:rsidR="006C1BEB">
        <w:t>The digital transformation within</w:t>
      </w:r>
      <w:r>
        <w:t xml:space="preserve"> these processes demands new </w:t>
      </w:r>
      <w:r w:rsidR="006C1BEB">
        <w:t xml:space="preserve">approaches </w:t>
      </w:r>
      <w:r>
        <w:t xml:space="preserve">to improve the quality and efficiency of care and avoid unnecessary </w:t>
      </w:r>
      <w:r w:rsidR="006C1BEB">
        <w:t>fragm</w:t>
      </w:r>
      <w:r w:rsidR="00774955">
        <w:t>e</w:t>
      </w:r>
      <w:r w:rsidR="006C1BEB">
        <w:t>ntation</w:t>
      </w:r>
      <w:r>
        <w:t xml:space="preserve">. The need for </w:t>
      </w:r>
      <w:r w:rsidR="00774955">
        <w:t>digital health solutions</w:t>
      </w:r>
      <w:r>
        <w:t xml:space="preserve"> increases </w:t>
      </w:r>
      <w:r w:rsidR="00774955">
        <w:t>in certain cases and areas, while not inevitable in others, mostly based on the state of technolog</w:t>
      </w:r>
      <w:r w:rsidR="00811E26">
        <w:t>ical progress</w:t>
      </w:r>
      <w:r w:rsidR="00774955">
        <w:t xml:space="preserve"> or the</w:t>
      </w:r>
      <w:r w:rsidR="00811E26">
        <w:t xml:space="preserve"> economics of</w:t>
      </w:r>
      <w:r w:rsidR="00774955">
        <w:t xml:space="preserve"> scale </w:t>
      </w:r>
      <w:r w:rsidR="00811E26">
        <w:t>associated to the</w:t>
      </w:r>
      <w:r w:rsidR="00774955">
        <w:t xml:space="preserve"> solution (e.g. </w:t>
      </w:r>
      <w:r w:rsidR="00811E26">
        <w:t xml:space="preserve">the </w:t>
      </w:r>
      <w:r w:rsidR="00774955">
        <w:t>us</w:t>
      </w:r>
      <w:r w:rsidR="00811E26">
        <w:t>e</w:t>
      </w:r>
      <w:r w:rsidR="00774955">
        <w:t xml:space="preserve"> of artificial intelligen</w:t>
      </w:r>
      <w:r w:rsidR="00811E26">
        <w:t>ce-</w:t>
      </w:r>
      <w:r w:rsidR="00774955">
        <w:t>based tools is more prevalent as imaging-based decision making support in diagnosis than as a part of treatment)</w:t>
      </w:r>
      <w:r w:rsidR="00385636">
        <w:t>.</w:t>
      </w:r>
      <w:r>
        <w:t xml:space="preserve"> </w:t>
      </w:r>
      <w:r w:rsidR="00385636">
        <w:t xml:space="preserve">In case of </w:t>
      </w:r>
      <w:r w:rsidR="00811E26">
        <w:t xml:space="preserve">the </w:t>
      </w:r>
      <w:r w:rsidR="00385636">
        <w:t xml:space="preserve">integration of a digital health solution, the </w:t>
      </w:r>
      <w:r w:rsidR="00811E26">
        <w:t xml:space="preserve">guiding </w:t>
      </w:r>
      <w:r w:rsidR="00A43412">
        <w:t>policy</w:t>
      </w:r>
      <w:r w:rsidR="00385636">
        <w:t xml:space="preserve"> can be decisive</w:t>
      </w:r>
      <w:r w:rsidR="00811E26">
        <w:t xml:space="preserve"> in achieving</w:t>
      </w:r>
      <w:r w:rsidR="00385636">
        <w:t xml:space="preserve"> success. A</w:t>
      </w:r>
      <w:r>
        <w:t xml:space="preserve"> structured and detailed planning of the process, including </w:t>
      </w:r>
      <w:r w:rsidR="00385636">
        <w:t>reconsideration of</w:t>
      </w:r>
      <w:r>
        <w:t xml:space="preserve"> standards</w:t>
      </w:r>
      <w:r w:rsidR="00385636">
        <w:t>, guidelines and regulations, is crucial</w:t>
      </w:r>
      <w:r>
        <w:t xml:space="preserve">. </w:t>
      </w:r>
    </w:p>
    <w:p w14:paraId="000000A1" w14:textId="41273D7F" w:rsidR="00CF2104" w:rsidRDefault="00811E26">
      <w:pPr>
        <w:jc w:val="both"/>
      </w:pPr>
      <w:r>
        <w:t>Pursuing the i</w:t>
      </w:r>
      <w:r w:rsidR="00385636">
        <w:t xml:space="preserve">ntegration of </w:t>
      </w:r>
      <w:r>
        <w:t xml:space="preserve">digital </w:t>
      </w:r>
      <w:r w:rsidR="00385636">
        <w:t xml:space="preserve">solutions </w:t>
      </w:r>
      <w:r w:rsidR="00CB5E95">
        <w:t xml:space="preserve">enables effective deployment and scaling up of </w:t>
      </w:r>
      <w:r w:rsidR="00385636">
        <w:t>digitalization</w:t>
      </w:r>
      <w:r w:rsidR="00CB5E95">
        <w:t xml:space="preserve"> by:</w:t>
      </w:r>
    </w:p>
    <w:p w14:paraId="000000A2" w14:textId="25C81D0F" w:rsidR="00CF2104" w:rsidRDefault="00CB5E95">
      <w:pPr>
        <w:numPr>
          <w:ilvl w:val="0"/>
          <w:numId w:val="14"/>
        </w:numPr>
        <w:pBdr>
          <w:top w:val="nil"/>
          <w:left w:val="nil"/>
          <w:bottom w:val="nil"/>
          <w:right w:val="nil"/>
          <w:between w:val="nil"/>
        </w:pBdr>
        <w:spacing w:after="0"/>
        <w:jc w:val="both"/>
        <w:rPr>
          <w:color w:val="000000"/>
        </w:rPr>
      </w:pPr>
      <w:r>
        <w:rPr>
          <w:color w:val="000000"/>
        </w:rPr>
        <w:t>Developing new processes that are replicable, funded and/or reimbursed, and agreed</w:t>
      </w:r>
      <w:r w:rsidR="00811E26">
        <w:rPr>
          <w:color w:val="000000"/>
        </w:rPr>
        <w:t xml:space="preserve"> upon</w:t>
      </w:r>
      <w:r>
        <w:rPr>
          <w:color w:val="000000"/>
        </w:rPr>
        <w:t xml:space="preserve"> by pertinent stakeholders.</w:t>
      </w:r>
    </w:p>
    <w:p w14:paraId="000000A3" w14:textId="5D7EDD36" w:rsidR="00CF2104" w:rsidRDefault="00CB5E95">
      <w:pPr>
        <w:numPr>
          <w:ilvl w:val="0"/>
          <w:numId w:val="14"/>
        </w:numPr>
        <w:pBdr>
          <w:top w:val="nil"/>
          <w:left w:val="nil"/>
          <w:bottom w:val="nil"/>
          <w:right w:val="nil"/>
          <w:between w:val="nil"/>
        </w:pBdr>
        <w:spacing w:after="0"/>
        <w:jc w:val="both"/>
        <w:rPr>
          <w:color w:val="000000"/>
        </w:rPr>
      </w:pPr>
      <w:r>
        <w:rPr>
          <w:color w:val="000000"/>
        </w:rPr>
        <w:t>Including an explicit statement of the goals and key elements of care</w:t>
      </w:r>
      <w:r w:rsidR="00EA304D">
        <w:rPr>
          <w:color w:val="000000"/>
        </w:rPr>
        <w:t>.</w:t>
      </w:r>
    </w:p>
    <w:p w14:paraId="000000A4" w14:textId="690073F9" w:rsidR="00CF2104" w:rsidRDefault="00CB5E95">
      <w:pPr>
        <w:numPr>
          <w:ilvl w:val="0"/>
          <w:numId w:val="14"/>
        </w:numPr>
        <w:pBdr>
          <w:top w:val="nil"/>
          <w:left w:val="nil"/>
          <w:bottom w:val="nil"/>
          <w:right w:val="nil"/>
          <w:between w:val="nil"/>
        </w:pBdr>
        <w:spacing w:after="0"/>
        <w:jc w:val="both"/>
        <w:rPr>
          <w:color w:val="000000"/>
        </w:rPr>
      </w:pPr>
      <w:r>
        <w:rPr>
          <w:color w:val="000000"/>
        </w:rPr>
        <w:t>Defining evidence-based guidelines and agreeing on plans for</w:t>
      </w:r>
      <w:r w:rsidR="00811E26">
        <w:rPr>
          <w:color w:val="000000"/>
        </w:rPr>
        <w:t xml:space="preserve"> the</w:t>
      </w:r>
      <w:r>
        <w:rPr>
          <w:color w:val="000000"/>
        </w:rPr>
        <w:t xml:space="preserve"> formal introduction and scaling-up </w:t>
      </w:r>
      <w:r w:rsidR="009B13F5">
        <w:rPr>
          <w:color w:val="000000"/>
        </w:rPr>
        <w:t xml:space="preserve">of </w:t>
      </w:r>
      <w:r>
        <w:rPr>
          <w:color w:val="000000"/>
        </w:rPr>
        <w:t xml:space="preserve">new </w:t>
      </w:r>
      <w:r w:rsidR="00385636">
        <w:rPr>
          <w:color w:val="000000"/>
        </w:rPr>
        <w:t>solutions</w:t>
      </w:r>
      <w:r>
        <w:rPr>
          <w:color w:val="000000"/>
        </w:rPr>
        <w:t>.</w:t>
      </w:r>
    </w:p>
    <w:p w14:paraId="000000A5" w14:textId="77777777" w:rsidR="00CF2104" w:rsidRDefault="00CB5E95">
      <w:pPr>
        <w:numPr>
          <w:ilvl w:val="0"/>
          <w:numId w:val="14"/>
        </w:numPr>
        <w:pBdr>
          <w:top w:val="nil"/>
          <w:left w:val="nil"/>
          <w:bottom w:val="nil"/>
          <w:right w:val="nil"/>
          <w:between w:val="nil"/>
        </w:pBdr>
        <w:spacing w:after="0"/>
        <w:jc w:val="both"/>
        <w:rPr>
          <w:color w:val="000000"/>
        </w:rPr>
      </w:pPr>
      <w:r>
        <w:rPr>
          <w:color w:val="000000"/>
        </w:rPr>
        <w:t>Negotiating with a broad range of experts and authorities the introduction and deployment of measurable care standards.</w:t>
      </w:r>
    </w:p>
    <w:p w14:paraId="000000A6" w14:textId="7C6971A2" w:rsidR="00CF2104" w:rsidRDefault="00CB5E95">
      <w:pPr>
        <w:numPr>
          <w:ilvl w:val="0"/>
          <w:numId w:val="14"/>
        </w:numPr>
        <w:pBdr>
          <w:top w:val="nil"/>
          <w:left w:val="nil"/>
          <w:bottom w:val="nil"/>
          <w:right w:val="nil"/>
          <w:between w:val="nil"/>
        </w:pBdr>
        <w:jc w:val="both"/>
        <w:rPr>
          <w:color w:val="000000"/>
        </w:rPr>
      </w:pPr>
      <w:r>
        <w:rPr>
          <w:color w:val="000000"/>
        </w:rPr>
        <w:t xml:space="preserve">Safeguarding </w:t>
      </w:r>
      <w:r w:rsidR="009B13F5">
        <w:rPr>
          <w:color w:val="000000"/>
        </w:rPr>
        <w:t xml:space="preserve">the </w:t>
      </w:r>
      <w:r>
        <w:rPr>
          <w:color w:val="000000"/>
        </w:rPr>
        <w:t xml:space="preserve">sustainability of new </w:t>
      </w:r>
      <w:r w:rsidR="00385636">
        <w:rPr>
          <w:color w:val="000000"/>
        </w:rPr>
        <w:t>solutions</w:t>
      </w:r>
      <w:r>
        <w:rPr>
          <w:color w:val="000000"/>
        </w:rPr>
        <w:t>.</w:t>
      </w:r>
    </w:p>
    <w:p w14:paraId="000000A7" w14:textId="77777777" w:rsidR="00CF2104" w:rsidRPr="009571FD" w:rsidRDefault="00CB5E95">
      <w:pPr>
        <w:spacing w:line="240" w:lineRule="auto"/>
        <w:jc w:val="both"/>
        <w:rPr>
          <w:b/>
          <w:i/>
          <w:sz w:val="22"/>
          <w:szCs w:val="22"/>
          <w:u w:val="single"/>
        </w:rPr>
      </w:pPr>
      <w:r w:rsidRPr="009571FD">
        <w:rPr>
          <w:b/>
          <w:i/>
          <w:sz w:val="22"/>
          <w:szCs w:val="22"/>
          <w:u w:val="single"/>
        </w:rPr>
        <w:t>Assessment scale</w:t>
      </w:r>
    </w:p>
    <w:p w14:paraId="000000A8" w14:textId="06B56008" w:rsidR="00CF2104" w:rsidRPr="009571FD" w:rsidRDefault="00CB5E95" w:rsidP="00DC5830">
      <w:pPr>
        <w:spacing w:after="0"/>
        <w:jc w:val="both"/>
        <w:rPr>
          <w:i/>
          <w:sz w:val="22"/>
          <w:szCs w:val="22"/>
        </w:rPr>
      </w:pPr>
      <w:r w:rsidRPr="009571FD">
        <w:rPr>
          <w:i/>
          <w:sz w:val="22"/>
          <w:szCs w:val="22"/>
        </w:rPr>
        <w:t xml:space="preserve">0 – No formal </w:t>
      </w:r>
      <w:r w:rsidR="009B13F5" w:rsidRPr="009571FD">
        <w:rPr>
          <w:i/>
          <w:sz w:val="22"/>
          <w:szCs w:val="22"/>
        </w:rPr>
        <w:t>guidelines</w:t>
      </w:r>
      <w:r w:rsidR="00A43412" w:rsidRPr="009571FD">
        <w:rPr>
          <w:i/>
          <w:sz w:val="22"/>
          <w:szCs w:val="22"/>
        </w:rPr>
        <w:t xml:space="preserve">, </w:t>
      </w:r>
      <w:r w:rsidRPr="009571FD">
        <w:rPr>
          <w:i/>
          <w:sz w:val="22"/>
          <w:szCs w:val="22"/>
        </w:rPr>
        <w:t xml:space="preserve">agreements or standards on </w:t>
      </w:r>
      <w:r w:rsidR="00385636" w:rsidRPr="009571FD">
        <w:rPr>
          <w:i/>
          <w:sz w:val="22"/>
          <w:szCs w:val="22"/>
        </w:rPr>
        <w:t>digital solutions</w:t>
      </w:r>
      <w:r w:rsidRPr="009571FD">
        <w:rPr>
          <w:i/>
          <w:sz w:val="22"/>
          <w:szCs w:val="22"/>
        </w:rPr>
        <w:t xml:space="preserve"> in </w:t>
      </w:r>
      <w:r w:rsidR="00476BBE" w:rsidRPr="009571FD">
        <w:rPr>
          <w:i/>
          <w:sz w:val="22"/>
          <w:szCs w:val="22"/>
        </w:rPr>
        <w:t>health</w:t>
      </w:r>
      <w:r w:rsidRPr="009571FD">
        <w:rPr>
          <w:i/>
          <w:sz w:val="22"/>
          <w:szCs w:val="22"/>
        </w:rPr>
        <w:t>care services are in place or in development.</w:t>
      </w:r>
    </w:p>
    <w:p w14:paraId="000000A9" w14:textId="5A704FA9" w:rsidR="00CF2104" w:rsidRPr="009571FD" w:rsidRDefault="00CB5E95" w:rsidP="00DC5830">
      <w:pPr>
        <w:spacing w:after="0"/>
        <w:jc w:val="both"/>
        <w:rPr>
          <w:i/>
          <w:sz w:val="22"/>
          <w:szCs w:val="22"/>
        </w:rPr>
      </w:pPr>
      <w:r w:rsidRPr="009571FD">
        <w:rPr>
          <w:i/>
          <w:sz w:val="22"/>
          <w:szCs w:val="22"/>
        </w:rPr>
        <w:t xml:space="preserve">1 – The stakeholders recognise the need for the standardisation of </w:t>
      </w:r>
      <w:r w:rsidR="00476BBE" w:rsidRPr="009571FD">
        <w:rPr>
          <w:i/>
          <w:sz w:val="22"/>
          <w:szCs w:val="22"/>
        </w:rPr>
        <w:t>digital health solutions</w:t>
      </w:r>
      <w:r w:rsidR="009B13F5" w:rsidRPr="009571FD">
        <w:rPr>
          <w:i/>
          <w:sz w:val="22"/>
          <w:szCs w:val="22"/>
        </w:rPr>
        <w:t xml:space="preserve"> and some guidelines have ben produced, </w:t>
      </w:r>
      <w:r w:rsidRPr="009571FD">
        <w:rPr>
          <w:i/>
          <w:sz w:val="22"/>
          <w:szCs w:val="22"/>
        </w:rPr>
        <w:t xml:space="preserve"> but there are no formal plans </w:t>
      </w:r>
      <w:r w:rsidR="009B13F5" w:rsidRPr="009571FD">
        <w:rPr>
          <w:i/>
          <w:sz w:val="22"/>
          <w:szCs w:val="22"/>
        </w:rPr>
        <w:t>for development</w:t>
      </w:r>
      <w:r w:rsidRPr="009571FD">
        <w:rPr>
          <w:i/>
          <w:sz w:val="22"/>
          <w:szCs w:val="22"/>
        </w:rPr>
        <w:t>.</w:t>
      </w:r>
    </w:p>
    <w:p w14:paraId="000000AA" w14:textId="19DB5F75" w:rsidR="00CF2104" w:rsidRPr="009571FD" w:rsidRDefault="00CB5E95" w:rsidP="00DC5830">
      <w:pPr>
        <w:spacing w:after="0"/>
        <w:jc w:val="both"/>
        <w:rPr>
          <w:i/>
          <w:sz w:val="22"/>
          <w:szCs w:val="22"/>
        </w:rPr>
      </w:pPr>
      <w:r w:rsidRPr="009571FD">
        <w:rPr>
          <w:i/>
          <w:sz w:val="22"/>
          <w:szCs w:val="22"/>
        </w:rPr>
        <w:t xml:space="preserve">2 – Some standardised </w:t>
      </w:r>
      <w:r w:rsidR="00476BBE" w:rsidRPr="009571FD">
        <w:rPr>
          <w:i/>
          <w:sz w:val="22"/>
          <w:szCs w:val="22"/>
        </w:rPr>
        <w:t xml:space="preserve">digital health solutions </w:t>
      </w:r>
      <w:r w:rsidRPr="009571FD">
        <w:rPr>
          <w:i/>
          <w:sz w:val="22"/>
          <w:szCs w:val="22"/>
        </w:rPr>
        <w:t>are underway; guidelines are used, some initiatives are formally described, but no systematic approach is planned.</w:t>
      </w:r>
    </w:p>
    <w:p w14:paraId="000000AB" w14:textId="55B629BA" w:rsidR="00CF2104" w:rsidRPr="009571FD" w:rsidRDefault="00CB5E95" w:rsidP="00DC5830">
      <w:pPr>
        <w:spacing w:after="0"/>
        <w:jc w:val="both"/>
        <w:rPr>
          <w:i/>
          <w:sz w:val="22"/>
          <w:szCs w:val="22"/>
        </w:rPr>
      </w:pPr>
      <w:r w:rsidRPr="009571FD">
        <w:rPr>
          <w:i/>
          <w:sz w:val="22"/>
          <w:szCs w:val="22"/>
        </w:rPr>
        <w:lastRenderedPageBreak/>
        <w:t>3 –</w:t>
      </w:r>
      <w:r w:rsidR="00476BBE" w:rsidRPr="009571FD">
        <w:rPr>
          <w:i/>
          <w:sz w:val="22"/>
          <w:szCs w:val="22"/>
        </w:rPr>
        <w:t xml:space="preserve"> Digital health solutions</w:t>
      </w:r>
      <w:r w:rsidRPr="009571FD">
        <w:rPr>
          <w:i/>
          <w:sz w:val="22"/>
          <w:szCs w:val="22"/>
        </w:rPr>
        <w:t xml:space="preserve"> are formally described in a standardised way by stakeholders. A systematic approach to standardisation is planned but not deployed.</w:t>
      </w:r>
    </w:p>
    <w:p w14:paraId="000000AC" w14:textId="5DB8E859" w:rsidR="00CF2104" w:rsidRPr="009571FD" w:rsidRDefault="00CB5E95" w:rsidP="00DC5830">
      <w:pPr>
        <w:spacing w:after="0"/>
        <w:jc w:val="both"/>
        <w:rPr>
          <w:i/>
          <w:sz w:val="22"/>
          <w:szCs w:val="22"/>
        </w:rPr>
      </w:pPr>
      <w:r w:rsidRPr="009571FD">
        <w:rPr>
          <w:i/>
          <w:sz w:val="22"/>
          <w:szCs w:val="22"/>
        </w:rPr>
        <w:t xml:space="preserve">4 – Most </w:t>
      </w:r>
      <w:r w:rsidR="00476BBE" w:rsidRPr="009571FD">
        <w:rPr>
          <w:i/>
          <w:sz w:val="22"/>
          <w:szCs w:val="22"/>
        </w:rPr>
        <w:t xml:space="preserve">digital health solutions </w:t>
      </w:r>
      <w:r w:rsidRPr="009571FD">
        <w:rPr>
          <w:i/>
          <w:sz w:val="22"/>
          <w:szCs w:val="22"/>
        </w:rPr>
        <w:t xml:space="preserve">are subject to a systematic </w:t>
      </w:r>
      <w:r w:rsidR="009B13F5" w:rsidRPr="009571FD">
        <w:rPr>
          <w:i/>
          <w:sz w:val="22"/>
          <w:szCs w:val="22"/>
        </w:rPr>
        <w:t>approach and</w:t>
      </w:r>
      <w:r w:rsidRPr="009571FD">
        <w:rPr>
          <w:i/>
          <w:sz w:val="22"/>
          <w:szCs w:val="22"/>
        </w:rPr>
        <w:t xml:space="preserve"> are standardised and deployed throughout the whole region/country.</w:t>
      </w:r>
    </w:p>
    <w:p w14:paraId="000000AD" w14:textId="766A5CDC" w:rsidR="00CF2104" w:rsidRPr="009571FD" w:rsidRDefault="00CB5E95" w:rsidP="009571FD">
      <w:pPr>
        <w:spacing w:after="240" w:line="240" w:lineRule="auto"/>
        <w:jc w:val="both"/>
        <w:rPr>
          <w:i/>
          <w:sz w:val="22"/>
          <w:szCs w:val="22"/>
        </w:rPr>
      </w:pPr>
      <w:r w:rsidRPr="009571FD">
        <w:rPr>
          <w:i/>
          <w:sz w:val="22"/>
          <w:szCs w:val="22"/>
        </w:rPr>
        <w:t xml:space="preserve">5 – A systematic approach to standardisation of </w:t>
      </w:r>
      <w:r w:rsidR="00476BBE" w:rsidRPr="009571FD">
        <w:rPr>
          <w:i/>
          <w:sz w:val="22"/>
          <w:szCs w:val="22"/>
        </w:rPr>
        <w:t>digital health solutions</w:t>
      </w:r>
      <w:r w:rsidRPr="009571FD">
        <w:rPr>
          <w:i/>
          <w:sz w:val="22"/>
          <w:szCs w:val="22"/>
        </w:rPr>
        <w:t xml:space="preserve"> is in place across the region/country. The processes are scaled up, maintained and redesigned according to standards.</w:t>
      </w:r>
    </w:p>
    <w:p w14:paraId="5AC4E811" w14:textId="54EAAC93" w:rsidR="00A00E35" w:rsidRDefault="000376DA" w:rsidP="00A00E35">
      <w:pPr>
        <w:pStyle w:val="Cmsor3"/>
        <w:jc w:val="both"/>
      </w:pPr>
      <w:bookmarkStart w:id="15" w:name="_Toc167702774"/>
      <w:r>
        <w:t>3</w:t>
      </w:r>
      <w:r w:rsidR="00A00E35">
        <w:t>.2.7. Workforce Capacity Building</w:t>
      </w:r>
      <w:bookmarkEnd w:id="15"/>
    </w:p>
    <w:p w14:paraId="4F07C1F2" w14:textId="77777777" w:rsidR="00A00E35" w:rsidRDefault="00A00E35" w:rsidP="00A00E35">
      <w:pPr>
        <w:jc w:val="both"/>
        <w:rPr>
          <w:b/>
        </w:rPr>
      </w:pPr>
      <w:r>
        <w:rPr>
          <w:b/>
        </w:rPr>
        <w:t>Objectives</w:t>
      </w:r>
    </w:p>
    <w:p w14:paraId="77A83EB9" w14:textId="6234E076" w:rsidR="00A00E35" w:rsidRDefault="00A00E35" w:rsidP="00A00E35">
      <w:pPr>
        <w:jc w:val="both"/>
      </w:pPr>
      <w:r>
        <w:t>Capacity</w:t>
      </w:r>
      <w:r w:rsidR="009B13F5">
        <w:t>-</w:t>
      </w:r>
      <w:r>
        <w:t>building is the process by which individual</w:t>
      </w:r>
      <w:r w:rsidR="009B13F5">
        <w:t>s</w:t>
      </w:r>
      <w:r>
        <w:t xml:space="preserve"> and organisations obtain, improve and retain the skills and knowledge needed to do their jobs competently. As the systems of care are transformed</w:t>
      </w:r>
      <w:r w:rsidR="00236BF0">
        <w:t xml:space="preserve"> by digitalization</w:t>
      </w:r>
      <w:r>
        <w:t>, many new roles will need to be created and new skills developed. These will range from technological expertise and project management to successful change management. The systems of care need to become ‘learning systems’ that are constantly striving to improve quality, cost and access. They must build their capacity so as to become more adaptable and resilient. As demands continue to change, skills, talent and experience must be retained. This means ensuring that knowledge is captured and used to improve the next set of projects, leading to greater productivity and increasing success.</w:t>
      </w:r>
    </w:p>
    <w:p w14:paraId="0C7B28EF" w14:textId="77777777" w:rsidR="00A00E35" w:rsidRDefault="00A00E35" w:rsidP="00A00E35">
      <w:pPr>
        <w:numPr>
          <w:ilvl w:val="0"/>
          <w:numId w:val="3"/>
        </w:numPr>
        <w:pBdr>
          <w:top w:val="nil"/>
          <w:left w:val="nil"/>
          <w:bottom w:val="nil"/>
          <w:right w:val="nil"/>
          <w:between w:val="nil"/>
        </w:pBdr>
        <w:spacing w:after="0"/>
        <w:jc w:val="both"/>
        <w:rPr>
          <w:color w:val="000000"/>
        </w:rPr>
      </w:pPr>
      <w:r>
        <w:rPr>
          <w:color w:val="000000"/>
        </w:rPr>
        <w:t>Increasing skills; continuous improvement.</w:t>
      </w:r>
    </w:p>
    <w:p w14:paraId="6BDE17B0" w14:textId="19FD99CA" w:rsidR="00A00E35" w:rsidRDefault="00A00E35" w:rsidP="00A00E35">
      <w:pPr>
        <w:numPr>
          <w:ilvl w:val="0"/>
          <w:numId w:val="3"/>
        </w:numPr>
        <w:pBdr>
          <w:top w:val="nil"/>
          <w:left w:val="nil"/>
          <w:bottom w:val="nil"/>
          <w:right w:val="nil"/>
          <w:between w:val="nil"/>
        </w:pBdr>
        <w:spacing w:after="0"/>
        <w:jc w:val="both"/>
        <w:rPr>
          <w:color w:val="000000"/>
        </w:rPr>
      </w:pPr>
      <w:r>
        <w:rPr>
          <w:color w:val="000000"/>
        </w:rPr>
        <w:t>Building a skill base that can bridge the gap and ensur</w:t>
      </w:r>
      <w:r w:rsidR="009B13F5">
        <w:rPr>
          <w:color w:val="000000"/>
        </w:rPr>
        <w:t>ing</w:t>
      </w:r>
      <w:r>
        <w:rPr>
          <w:color w:val="000000"/>
        </w:rPr>
        <w:t xml:space="preserve"> that the capacity needs are understood and addressed by digital solutions where appropriate.</w:t>
      </w:r>
    </w:p>
    <w:p w14:paraId="423FA3FD" w14:textId="77777777" w:rsidR="00A00E35" w:rsidRDefault="00A00E35" w:rsidP="00A00E35">
      <w:pPr>
        <w:numPr>
          <w:ilvl w:val="0"/>
          <w:numId w:val="3"/>
        </w:numPr>
        <w:pBdr>
          <w:top w:val="nil"/>
          <w:left w:val="nil"/>
          <w:bottom w:val="nil"/>
          <w:right w:val="nil"/>
          <w:between w:val="nil"/>
        </w:pBdr>
        <w:spacing w:after="0"/>
        <w:jc w:val="both"/>
        <w:rPr>
          <w:color w:val="000000"/>
        </w:rPr>
      </w:pPr>
      <w:r>
        <w:rPr>
          <w:color w:val="000000"/>
        </w:rPr>
        <w:t>Providing tools, processes and platforms to allow organisations to assess themselves and build their own capacity to deliver successful change.</w:t>
      </w:r>
    </w:p>
    <w:p w14:paraId="1E82EDDD" w14:textId="77777777" w:rsidR="00A00E35" w:rsidRDefault="00A00E35" w:rsidP="00A00E35">
      <w:pPr>
        <w:numPr>
          <w:ilvl w:val="0"/>
          <w:numId w:val="3"/>
        </w:numPr>
        <w:pBdr>
          <w:top w:val="nil"/>
          <w:left w:val="nil"/>
          <w:bottom w:val="nil"/>
          <w:right w:val="nil"/>
          <w:between w:val="nil"/>
        </w:pBdr>
        <w:jc w:val="both"/>
        <w:rPr>
          <w:color w:val="000000"/>
        </w:rPr>
      </w:pPr>
      <w:r>
        <w:rPr>
          <w:color w:val="000000"/>
        </w:rPr>
        <w:t>Creating an environment where service improvements are continuously evaluated and delivered for the benefit of the entire care system.</w:t>
      </w:r>
    </w:p>
    <w:p w14:paraId="1FEBFFAB" w14:textId="77777777" w:rsidR="00A00E35" w:rsidRPr="009571FD" w:rsidRDefault="00A00E35" w:rsidP="00A00E35">
      <w:pPr>
        <w:spacing w:line="240" w:lineRule="auto"/>
        <w:jc w:val="both"/>
        <w:rPr>
          <w:b/>
          <w:i/>
          <w:sz w:val="22"/>
          <w:szCs w:val="22"/>
          <w:u w:val="single"/>
        </w:rPr>
      </w:pPr>
      <w:r w:rsidRPr="009571FD">
        <w:rPr>
          <w:b/>
          <w:i/>
          <w:sz w:val="22"/>
          <w:szCs w:val="22"/>
          <w:u w:val="single"/>
        </w:rPr>
        <w:t>Assessment scale</w:t>
      </w:r>
    </w:p>
    <w:p w14:paraId="3BBC086E" w14:textId="1BED4580" w:rsidR="00A00E35" w:rsidRPr="009571FD" w:rsidRDefault="00A00E35" w:rsidP="00DC5830">
      <w:pPr>
        <w:spacing w:after="0"/>
        <w:jc w:val="both"/>
        <w:rPr>
          <w:i/>
          <w:sz w:val="22"/>
          <w:szCs w:val="22"/>
        </w:rPr>
      </w:pPr>
      <w:r w:rsidRPr="009571FD">
        <w:rPr>
          <w:i/>
          <w:sz w:val="22"/>
          <w:szCs w:val="22"/>
        </w:rPr>
        <w:t xml:space="preserve">0 – </w:t>
      </w:r>
      <w:r w:rsidR="00236BF0" w:rsidRPr="009571FD">
        <w:rPr>
          <w:i/>
          <w:sz w:val="22"/>
          <w:szCs w:val="22"/>
        </w:rPr>
        <w:t>Digital health is</w:t>
      </w:r>
      <w:r w:rsidRPr="009571FD">
        <w:rPr>
          <w:i/>
          <w:sz w:val="22"/>
          <w:szCs w:val="22"/>
        </w:rPr>
        <w:t xml:space="preserve"> not considered for capacity</w:t>
      </w:r>
      <w:r w:rsidR="009B13F5" w:rsidRPr="009571FD">
        <w:rPr>
          <w:i/>
          <w:sz w:val="22"/>
          <w:szCs w:val="22"/>
        </w:rPr>
        <w:t>-</w:t>
      </w:r>
      <w:r w:rsidRPr="009571FD">
        <w:rPr>
          <w:i/>
          <w:sz w:val="22"/>
          <w:szCs w:val="22"/>
        </w:rPr>
        <w:t>building</w:t>
      </w:r>
      <w:r w:rsidR="00FC4CF9" w:rsidRPr="009571FD">
        <w:rPr>
          <w:i/>
          <w:sz w:val="22"/>
          <w:szCs w:val="22"/>
        </w:rPr>
        <w:t>.</w:t>
      </w:r>
    </w:p>
    <w:p w14:paraId="379C3E7A" w14:textId="1CDB17C0" w:rsidR="00A00E35" w:rsidRPr="009571FD" w:rsidRDefault="00A00E35" w:rsidP="00DC5830">
      <w:pPr>
        <w:spacing w:after="0"/>
        <w:jc w:val="both"/>
        <w:rPr>
          <w:i/>
          <w:sz w:val="22"/>
          <w:szCs w:val="22"/>
        </w:rPr>
      </w:pPr>
      <w:r w:rsidRPr="009571FD">
        <w:rPr>
          <w:i/>
          <w:sz w:val="22"/>
          <w:szCs w:val="22"/>
        </w:rPr>
        <w:t>1 – Some approaches to capacity</w:t>
      </w:r>
      <w:r w:rsidR="009B13F5" w:rsidRPr="009571FD">
        <w:rPr>
          <w:i/>
          <w:sz w:val="22"/>
          <w:szCs w:val="22"/>
        </w:rPr>
        <w:t>-</w:t>
      </w:r>
      <w:r w:rsidRPr="009571FD">
        <w:rPr>
          <w:i/>
          <w:sz w:val="22"/>
          <w:szCs w:val="22"/>
        </w:rPr>
        <w:t xml:space="preserve">building for </w:t>
      </w:r>
      <w:r w:rsidR="00236BF0" w:rsidRPr="009571FD">
        <w:rPr>
          <w:i/>
          <w:sz w:val="22"/>
          <w:szCs w:val="22"/>
        </w:rPr>
        <w:t>digital health</w:t>
      </w:r>
      <w:r w:rsidRPr="009571FD">
        <w:rPr>
          <w:i/>
          <w:sz w:val="22"/>
          <w:szCs w:val="22"/>
        </w:rPr>
        <w:t xml:space="preserve"> are in place</w:t>
      </w:r>
      <w:r w:rsidR="00FC4CF9" w:rsidRPr="009571FD">
        <w:rPr>
          <w:i/>
          <w:sz w:val="22"/>
          <w:szCs w:val="22"/>
        </w:rPr>
        <w:t>.</w:t>
      </w:r>
    </w:p>
    <w:p w14:paraId="001591FC" w14:textId="33169B7E" w:rsidR="00A00E35" w:rsidRPr="009571FD" w:rsidRDefault="00A00E35" w:rsidP="00DC5830">
      <w:pPr>
        <w:spacing w:after="0"/>
        <w:jc w:val="both"/>
        <w:rPr>
          <w:i/>
          <w:sz w:val="22"/>
          <w:szCs w:val="22"/>
        </w:rPr>
      </w:pPr>
      <w:r w:rsidRPr="009571FD">
        <w:rPr>
          <w:i/>
          <w:sz w:val="22"/>
          <w:szCs w:val="22"/>
        </w:rPr>
        <w:t>2 – Cooperation on capacity</w:t>
      </w:r>
      <w:r w:rsidR="009B13F5" w:rsidRPr="009571FD">
        <w:rPr>
          <w:i/>
          <w:sz w:val="22"/>
          <w:szCs w:val="22"/>
        </w:rPr>
        <w:t>-</w:t>
      </w:r>
      <w:r w:rsidRPr="009571FD">
        <w:rPr>
          <w:i/>
          <w:sz w:val="22"/>
          <w:szCs w:val="22"/>
        </w:rPr>
        <w:t xml:space="preserve">building for </w:t>
      </w:r>
      <w:r w:rsidR="00236BF0" w:rsidRPr="009571FD">
        <w:rPr>
          <w:i/>
          <w:sz w:val="22"/>
          <w:szCs w:val="22"/>
        </w:rPr>
        <w:t>digital health</w:t>
      </w:r>
      <w:r w:rsidRPr="009571FD">
        <w:rPr>
          <w:i/>
          <w:sz w:val="22"/>
          <w:szCs w:val="22"/>
        </w:rPr>
        <w:t xml:space="preserve"> is growing across the region</w:t>
      </w:r>
      <w:r w:rsidR="00FC4CF9" w:rsidRPr="009571FD">
        <w:rPr>
          <w:i/>
          <w:sz w:val="22"/>
          <w:szCs w:val="22"/>
        </w:rPr>
        <w:t>.</w:t>
      </w:r>
    </w:p>
    <w:p w14:paraId="568E24D9" w14:textId="44085852" w:rsidR="00A00E35" w:rsidRPr="009571FD" w:rsidRDefault="00A00E35" w:rsidP="00DC5830">
      <w:pPr>
        <w:spacing w:after="0"/>
        <w:jc w:val="both"/>
        <w:rPr>
          <w:i/>
          <w:sz w:val="22"/>
          <w:szCs w:val="22"/>
        </w:rPr>
      </w:pPr>
      <w:r w:rsidRPr="009571FD">
        <w:rPr>
          <w:i/>
          <w:sz w:val="22"/>
          <w:szCs w:val="22"/>
        </w:rPr>
        <w:t xml:space="preserve">3 – Learning about </w:t>
      </w:r>
      <w:r w:rsidR="00236BF0" w:rsidRPr="009571FD">
        <w:rPr>
          <w:i/>
          <w:sz w:val="22"/>
          <w:szCs w:val="22"/>
        </w:rPr>
        <w:t>digital health solutions</w:t>
      </w:r>
      <w:r w:rsidRPr="009571FD">
        <w:rPr>
          <w:i/>
          <w:sz w:val="22"/>
          <w:szCs w:val="22"/>
        </w:rPr>
        <w:t xml:space="preserve"> is in place but not widely implemented</w:t>
      </w:r>
      <w:r w:rsidR="00FC4CF9" w:rsidRPr="009571FD">
        <w:rPr>
          <w:i/>
          <w:sz w:val="22"/>
          <w:szCs w:val="22"/>
        </w:rPr>
        <w:t>.</w:t>
      </w:r>
    </w:p>
    <w:p w14:paraId="26286A6F" w14:textId="31A1C2E7" w:rsidR="00A00E35" w:rsidRPr="009571FD" w:rsidRDefault="00A00E35" w:rsidP="00DC5830">
      <w:pPr>
        <w:spacing w:after="0"/>
        <w:jc w:val="both"/>
        <w:rPr>
          <w:i/>
          <w:sz w:val="22"/>
          <w:szCs w:val="22"/>
        </w:rPr>
      </w:pPr>
      <w:r w:rsidRPr="009571FD">
        <w:rPr>
          <w:i/>
          <w:sz w:val="22"/>
          <w:szCs w:val="22"/>
        </w:rPr>
        <w:t xml:space="preserve">4 – Systematic learning about </w:t>
      </w:r>
      <w:r w:rsidR="00236BF0" w:rsidRPr="009571FD">
        <w:rPr>
          <w:i/>
          <w:sz w:val="22"/>
          <w:szCs w:val="22"/>
        </w:rPr>
        <w:t>digital health solutions</w:t>
      </w:r>
      <w:r w:rsidRPr="009571FD">
        <w:rPr>
          <w:i/>
          <w:sz w:val="22"/>
          <w:szCs w:val="22"/>
        </w:rPr>
        <w:t xml:space="preserve"> is widely implemented; knowledge is shared, skills retained and there is a lower turnover of experienced staff</w:t>
      </w:r>
      <w:r w:rsidR="00FC4CF9" w:rsidRPr="009571FD">
        <w:rPr>
          <w:i/>
          <w:sz w:val="22"/>
          <w:szCs w:val="22"/>
        </w:rPr>
        <w:t>.</w:t>
      </w:r>
    </w:p>
    <w:p w14:paraId="1D46C46C" w14:textId="71BEA8CE" w:rsidR="00236BF0" w:rsidRPr="009571FD" w:rsidRDefault="00A00E35" w:rsidP="00D23464">
      <w:pPr>
        <w:spacing w:after="240"/>
        <w:jc w:val="both"/>
        <w:rPr>
          <w:i/>
          <w:sz w:val="22"/>
          <w:szCs w:val="22"/>
        </w:rPr>
      </w:pPr>
      <w:r w:rsidRPr="009571FD">
        <w:rPr>
          <w:i/>
          <w:sz w:val="22"/>
          <w:szCs w:val="22"/>
        </w:rPr>
        <w:t>5 – A 'person-centred learning healthcare system’ involving reflection and continuous improvement is in place</w:t>
      </w:r>
      <w:r w:rsidR="00236BF0" w:rsidRPr="009571FD">
        <w:rPr>
          <w:i/>
          <w:sz w:val="22"/>
          <w:szCs w:val="22"/>
        </w:rPr>
        <w:t>.</w:t>
      </w:r>
      <w:r w:rsidRPr="009571FD">
        <w:rPr>
          <w:i/>
          <w:sz w:val="22"/>
          <w:szCs w:val="22"/>
        </w:rPr>
        <w:t xml:space="preserve"> </w:t>
      </w:r>
    </w:p>
    <w:p w14:paraId="0D718AFE" w14:textId="1EE3AF91" w:rsidR="00236BF0" w:rsidRDefault="000376DA" w:rsidP="00236BF0">
      <w:pPr>
        <w:pStyle w:val="Cmsor3"/>
        <w:jc w:val="both"/>
      </w:pPr>
      <w:bookmarkStart w:id="16" w:name="_Toc167702775"/>
      <w:r>
        <w:t>3</w:t>
      </w:r>
      <w:r w:rsidR="00236BF0">
        <w:t>.2.8. Population Approach and Citizen Empowerment</w:t>
      </w:r>
      <w:bookmarkEnd w:id="16"/>
    </w:p>
    <w:p w14:paraId="57EDF841" w14:textId="77777777" w:rsidR="00236BF0" w:rsidRDefault="00236BF0" w:rsidP="00236BF0">
      <w:pPr>
        <w:jc w:val="both"/>
        <w:rPr>
          <w:b/>
        </w:rPr>
      </w:pPr>
      <w:r>
        <w:rPr>
          <w:b/>
        </w:rPr>
        <w:t>Objectives</w:t>
      </w:r>
    </w:p>
    <w:p w14:paraId="5F59C87A" w14:textId="59DA7827" w:rsidR="00236BF0" w:rsidRDefault="007B5EE0" w:rsidP="00236BF0">
      <w:pPr>
        <w:jc w:val="both"/>
      </w:pPr>
      <w:r>
        <w:t>Healthcare systems</w:t>
      </w:r>
      <w:r w:rsidR="00236BF0">
        <w:t xml:space="preserve"> should use methods to understand where future health risk (and </w:t>
      </w:r>
      <w:r w:rsidR="00997B1F">
        <w:t>consequently</w:t>
      </w:r>
      <w:r w:rsidR="00236BF0">
        <w:t xml:space="preserve">, demand) </w:t>
      </w:r>
      <w:r w:rsidR="00997B1F">
        <w:t>lays</w:t>
      </w:r>
      <w:r w:rsidR="00236BF0">
        <w:t xml:space="preserve">. </w:t>
      </w:r>
      <w:r w:rsidR="00997B1F">
        <w:t xml:space="preserve">This </w:t>
      </w:r>
      <w:r w:rsidR="00236BF0">
        <w:t xml:space="preserve">offers ways to act ahead of time, to predict and anticipate, so that citizens can maintain their health for longer and be less dependent </w:t>
      </w:r>
      <w:r w:rsidR="00236BF0">
        <w:lastRenderedPageBreak/>
        <w:t>on care services as they age.</w:t>
      </w:r>
      <w:r>
        <w:t xml:space="preserve"> The evidence suggests that many individuals would be willing to do more to participat</w:t>
      </w:r>
      <w:r w:rsidR="00FC4CF9">
        <w:t>e in their own care if easy-to-</w:t>
      </w:r>
      <w:r>
        <w:t>use services, such as appointment booking, self-monitoring of health status, and alternatives to medical appointments were available to them. T</w:t>
      </w:r>
      <w:r w:rsidR="00997B1F">
        <w:t>o meet this demand, it is required to pr</w:t>
      </w:r>
      <w:r>
        <w:t>ovid</w:t>
      </w:r>
      <w:r w:rsidR="00997B1F">
        <w:t>e</w:t>
      </w:r>
      <w:r>
        <w:t xml:space="preserve"> services and tools that </w:t>
      </w:r>
      <w:r w:rsidR="00997B1F">
        <w:t xml:space="preserve">enhance </w:t>
      </w:r>
      <w:r>
        <w:t>convenience, offer choice</w:t>
      </w:r>
      <w:r w:rsidR="00997B1F">
        <w:t>s</w:t>
      </w:r>
      <w:r>
        <w:t xml:space="preserve">, and encourage self-service and engagement in health management, </w:t>
      </w:r>
      <w:r w:rsidR="00997B1F">
        <w:t xml:space="preserve">while also </w:t>
      </w:r>
      <w:r>
        <w:t>considering the need to address the risk of health inequalities.</w:t>
      </w:r>
    </w:p>
    <w:p w14:paraId="126CDB9F" w14:textId="61696F70" w:rsidR="00236BF0" w:rsidRPr="00236BF0" w:rsidRDefault="00236BF0" w:rsidP="00236BF0">
      <w:pPr>
        <w:numPr>
          <w:ilvl w:val="0"/>
          <w:numId w:val="7"/>
        </w:numPr>
        <w:pBdr>
          <w:top w:val="nil"/>
          <w:left w:val="nil"/>
          <w:bottom w:val="nil"/>
          <w:right w:val="nil"/>
          <w:between w:val="nil"/>
        </w:pBdr>
        <w:spacing w:after="0"/>
        <w:jc w:val="both"/>
        <w:rPr>
          <w:color w:val="000000"/>
        </w:rPr>
      </w:pPr>
      <w:r>
        <w:rPr>
          <w:color w:val="000000"/>
        </w:rPr>
        <w:t>Understanding and anticipating demand; meeting needs b</w:t>
      </w:r>
      <w:r w:rsidR="007B5EE0">
        <w:rPr>
          <w:color w:val="000000"/>
        </w:rPr>
        <w:t xml:space="preserve">etter and addressing health </w:t>
      </w:r>
      <w:r w:rsidRPr="00236BF0">
        <w:rPr>
          <w:color w:val="000000"/>
        </w:rPr>
        <w:t>inequalities.</w:t>
      </w:r>
    </w:p>
    <w:p w14:paraId="75321A6E" w14:textId="77777777" w:rsidR="00236BF0" w:rsidRPr="00236BF0" w:rsidRDefault="00236BF0" w:rsidP="00236BF0">
      <w:pPr>
        <w:numPr>
          <w:ilvl w:val="0"/>
          <w:numId w:val="7"/>
        </w:numPr>
        <w:pBdr>
          <w:top w:val="nil"/>
          <w:left w:val="nil"/>
          <w:bottom w:val="nil"/>
          <w:right w:val="nil"/>
          <w:between w:val="nil"/>
        </w:pBdr>
        <w:spacing w:after="0"/>
        <w:jc w:val="both"/>
        <w:rPr>
          <w:color w:val="000000"/>
        </w:rPr>
      </w:pPr>
      <w:r w:rsidRPr="00236BF0">
        <w:rPr>
          <w:color w:val="000000"/>
        </w:rPr>
        <w:t>Improving the resilience of care systems by using existing data on public health, health risks, and service utilisation.</w:t>
      </w:r>
    </w:p>
    <w:p w14:paraId="3C7D35CC" w14:textId="6215CF75" w:rsidR="00236BF0" w:rsidRDefault="00236BF0" w:rsidP="00FC4CF9">
      <w:pPr>
        <w:numPr>
          <w:ilvl w:val="0"/>
          <w:numId w:val="7"/>
        </w:numPr>
        <w:pBdr>
          <w:top w:val="nil"/>
          <w:left w:val="nil"/>
          <w:bottom w:val="nil"/>
          <w:right w:val="nil"/>
          <w:between w:val="nil"/>
        </w:pBdr>
        <w:spacing w:after="0"/>
        <w:jc w:val="both"/>
        <w:rPr>
          <w:color w:val="000000"/>
        </w:rPr>
      </w:pPr>
      <w:r>
        <w:rPr>
          <w:color w:val="000000"/>
        </w:rPr>
        <w:t>Predicting future demand and taking steps to reduce health risks th</w:t>
      </w:r>
      <w:r w:rsidR="00765ADF">
        <w:rPr>
          <w:color w:val="000000"/>
        </w:rPr>
        <w:t>r</w:t>
      </w:r>
      <w:r>
        <w:rPr>
          <w:color w:val="000000"/>
        </w:rPr>
        <w:t>ough technology-enabled health interventions.</w:t>
      </w:r>
    </w:p>
    <w:p w14:paraId="4B0E92C6" w14:textId="5BFEE6F7" w:rsidR="007B5EE0" w:rsidRPr="007B5EE0" w:rsidRDefault="007B5EE0" w:rsidP="009571FD">
      <w:pPr>
        <w:numPr>
          <w:ilvl w:val="0"/>
          <w:numId w:val="7"/>
        </w:numPr>
        <w:pBdr>
          <w:top w:val="nil"/>
          <w:left w:val="nil"/>
          <w:bottom w:val="nil"/>
          <w:right w:val="nil"/>
          <w:between w:val="nil"/>
        </w:pBdr>
        <w:ind w:left="714" w:hanging="357"/>
        <w:jc w:val="both"/>
        <w:rPr>
          <w:color w:val="000000"/>
        </w:rPr>
      </w:pPr>
      <w:r>
        <w:rPr>
          <w:color w:val="000000"/>
        </w:rPr>
        <w:t xml:space="preserve">Involving citizens and encouraging participation enabled by digital health solutions. </w:t>
      </w:r>
    </w:p>
    <w:p w14:paraId="2A859DE4" w14:textId="77777777" w:rsidR="00236BF0" w:rsidRPr="009571FD" w:rsidRDefault="00236BF0" w:rsidP="00236BF0">
      <w:pPr>
        <w:jc w:val="both"/>
        <w:rPr>
          <w:b/>
          <w:i/>
          <w:sz w:val="22"/>
          <w:szCs w:val="22"/>
          <w:u w:val="single"/>
        </w:rPr>
      </w:pPr>
      <w:r w:rsidRPr="009571FD">
        <w:rPr>
          <w:b/>
          <w:i/>
          <w:sz w:val="22"/>
          <w:szCs w:val="22"/>
          <w:u w:val="single"/>
        </w:rPr>
        <w:t>Assessment scale</w:t>
      </w:r>
    </w:p>
    <w:p w14:paraId="6306F1F1" w14:textId="2AD1ABB9" w:rsidR="00236BF0" w:rsidRPr="009571FD" w:rsidRDefault="00236BF0" w:rsidP="00DC5830">
      <w:pPr>
        <w:spacing w:after="0"/>
        <w:jc w:val="both"/>
        <w:rPr>
          <w:i/>
          <w:sz w:val="22"/>
          <w:szCs w:val="22"/>
        </w:rPr>
      </w:pPr>
      <w:r w:rsidRPr="009571FD">
        <w:rPr>
          <w:i/>
          <w:sz w:val="22"/>
          <w:szCs w:val="22"/>
        </w:rPr>
        <w:t xml:space="preserve">0 – </w:t>
      </w:r>
      <w:r w:rsidR="00997B1F" w:rsidRPr="009571FD">
        <w:rPr>
          <w:i/>
          <w:sz w:val="22"/>
          <w:szCs w:val="22"/>
        </w:rPr>
        <w:t>A p</w:t>
      </w:r>
      <w:r w:rsidRPr="009571FD">
        <w:rPr>
          <w:i/>
          <w:sz w:val="22"/>
          <w:szCs w:val="22"/>
        </w:rPr>
        <w:t>opulation health approach</w:t>
      </w:r>
      <w:r w:rsidR="007B5EE0" w:rsidRPr="009571FD">
        <w:rPr>
          <w:i/>
          <w:sz w:val="22"/>
          <w:szCs w:val="22"/>
        </w:rPr>
        <w:t xml:space="preserve"> and citizen empowerment </w:t>
      </w:r>
      <w:r w:rsidR="00997B1F" w:rsidRPr="009571FD">
        <w:rPr>
          <w:i/>
          <w:sz w:val="22"/>
          <w:szCs w:val="22"/>
        </w:rPr>
        <w:t>regarding</w:t>
      </w:r>
      <w:r w:rsidR="007B5EE0" w:rsidRPr="009571FD">
        <w:rPr>
          <w:i/>
          <w:sz w:val="22"/>
          <w:szCs w:val="22"/>
        </w:rPr>
        <w:t xml:space="preserve"> digital health</w:t>
      </w:r>
      <w:r w:rsidRPr="009571FD">
        <w:rPr>
          <w:i/>
          <w:sz w:val="22"/>
          <w:szCs w:val="22"/>
        </w:rPr>
        <w:t xml:space="preserve"> </w:t>
      </w:r>
      <w:r w:rsidR="00997B1F" w:rsidRPr="009571FD">
        <w:rPr>
          <w:i/>
          <w:sz w:val="22"/>
          <w:szCs w:val="22"/>
        </w:rPr>
        <w:t xml:space="preserve">are </w:t>
      </w:r>
      <w:r w:rsidRPr="009571FD">
        <w:rPr>
          <w:i/>
          <w:sz w:val="22"/>
          <w:szCs w:val="22"/>
        </w:rPr>
        <w:t xml:space="preserve">not </w:t>
      </w:r>
      <w:r w:rsidR="007B5EE0" w:rsidRPr="009571FD">
        <w:rPr>
          <w:i/>
          <w:sz w:val="22"/>
          <w:szCs w:val="22"/>
        </w:rPr>
        <w:t>considered</w:t>
      </w:r>
      <w:r w:rsidRPr="009571FD">
        <w:rPr>
          <w:i/>
          <w:sz w:val="22"/>
          <w:szCs w:val="22"/>
        </w:rPr>
        <w:t xml:space="preserve"> </w:t>
      </w:r>
      <w:r w:rsidR="00A01DF8" w:rsidRPr="009571FD">
        <w:rPr>
          <w:i/>
          <w:sz w:val="22"/>
          <w:szCs w:val="22"/>
        </w:rPr>
        <w:t>as an integrated part of health</w:t>
      </w:r>
      <w:r w:rsidRPr="009571FD">
        <w:rPr>
          <w:i/>
          <w:sz w:val="22"/>
          <w:szCs w:val="22"/>
        </w:rPr>
        <w:t>care services</w:t>
      </w:r>
      <w:r w:rsidR="00FC4CF9" w:rsidRPr="009571FD">
        <w:rPr>
          <w:i/>
          <w:sz w:val="22"/>
          <w:szCs w:val="22"/>
        </w:rPr>
        <w:t>.</w:t>
      </w:r>
    </w:p>
    <w:p w14:paraId="1C7C9AA5" w14:textId="599435F6" w:rsidR="00236BF0" w:rsidRPr="009571FD" w:rsidRDefault="00236BF0" w:rsidP="00DC5830">
      <w:pPr>
        <w:spacing w:after="0"/>
        <w:jc w:val="both"/>
        <w:rPr>
          <w:i/>
          <w:sz w:val="22"/>
          <w:szCs w:val="22"/>
        </w:rPr>
      </w:pPr>
      <w:r w:rsidRPr="009571FD">
        <w:rPr>
          <w:i/>
          <w:sz w:val="22"/>
          <w:szCs w:val="22"/>
        </w:rPr>
        <w:t xml:space="preserve">1 – Population-wide risk stratification </w:t>
      </w:r>
      <w:r w:rsidR="007B5EE0" w:rsidRPr="009571FD">
        <w:rPr>
          <w:i/>
          <w:sz w:val="22"/>
          <w:szCs w:val="22"/>
        </w:rPr>
        <w:t xml:space="preserve">and citizen empowerment </w:t>
      </w:r>
      <w:r w:rsidR="00C9636D" w:rsidRPr="009571FD">
        <w:rPr>
          <w:i/>
          <w:sz w:val="22"/>
          <w:szCs w:val="22"/>
        </w:rPr>
        <w:t xml:space="preserve">are </w:t>
      </w:r>
      <w:r w:rsidRPr="009571FD">
        <w:rPr>
          <w:i/>
          <w:sz w:val="22"/>
          <w:szCs w:val="22"/>
        </w:rPr>
        <w:t xml:space="preserve">considered but </w:t>
      </w:r>
      <w:r w:rsidR="007B5EE0" w:rsidRPr="009571FD">
        <w:rPr>
          <w:i/>
          <w:sz w:val="22"/>
          <w:szCs w:val="22"/>
        </w:rPr>
        <w:t>effective policies to support</w:t>
      </w:r>
      <w:r w:rsidR="00997B1F" w:rsidRPr="009571FD">
        <w:rPr>
          <w:i/>
          <w:sz w:val="22"/>
          <w:szCs w:val="22"/>
        </w:rPr>
        <w:t xml:space="preserve"> them</w:t>
      </w:r>
      <w:r w:rsidR="007B5EE0" w:rsidRPr="009571FD">
        <w:rPr>
          <w:i/>
          <w:sz w:val="22"/>
          <w:szCs w:val="22"/>
        </w:rPr>
        <w:t xml:space="preserve"> are still in development</w:t>
      </w:r>
      <w:r w:rsidR="00C9636D" w:rsidRPr="009571FD">
        <w:rPr>
          <w:i/>
          <w:sz w:val="22"/>
          <w:szCs w:val="22"/>
        </w:rPr>
        <w:t xml:space="preserve"> and </w:t>
      </w:r>
      <w:r w:rsidR="00997B1F" w:rsidRPr="009571FD">
        <w:rPr>
          <w:i/>
          <w:sz w:val="22"/>
          <w:szCs w:val="22"/>
        </w:rPr>
        <w:t>and have not been enacted</w:t>
      </w:r>
      <w:r w:rsidR="00FC4CF9" w:rsidRPr="009571FD">
        <w:rPr>
          <w:i/>
          <w:sz w:val="22"/>
          <w:szCs w:val="22"/>
        </w:rPr>
        <w:t>.</w:t>
      </w:r>
    </w:p>
    <w:p w14:paraId="73457B96" w14:textId="5CBF44FA" w:rsidR="00236BF0" w:rsidRPr="009571FD" w:rsidRDefault="00236BF0" w:rsidP="00DC5830">
      <w:pPr>
        <w:spacing w:after="0"/>
        <w:jc w:val="both"/>
        <w:rPr>
          <w:i/>
          <w:sz w:val="22"/>
          <w:szCs w:val="22"/>
        </w:rPr>
      </w:pPr>
      <w:r w:rsidRPr="009571FD">
        <w:rPr>
          <w:i/>
          <w:sz w:val="22"/>
          <w:szCs w:val="22"/>
        </w:rPr>
        <w:t>2 – Risk stratification</w:t>
      </w:r>
      <w:r w:rsidR="00C9636D" w:rsidRPr="009571FD">
        <w:rPr>
          <w:i/>
          <w:sz w:val="22"/>
          <w:szCs w:val="22"/>
        </w:rPr>
        <w:t xml:space="preserve"> </w:t>
      </w:r>
      <w:r w:rsidRPr="009571FD">
        <w:rPr>
          <w:i/>
          <w:sz w:val="22"/>
          <w:szCs w:val="22"/>
        </w:rPr>
        <w:t xml:space="preserve">approach </w:t>
      </w:r>
      <w:r w:rsidR="00C9636D" w:rsidRPr="009571FD">
        <w:rPr>
          <w:i/>
          <w:sz w:val="22"/>
          <w:szCs w:val="22"/>
        </w:rPr>
        <w:t>and citizen empowerment policies are</w:t>
      </w:r>
      <w:r w:rsidRPr="009571FD">
        <w:rPr>
          <w:i/>
          <w:sz w:val="22"/>
          <w:szCs w:val="22"/>
        </w:rPr>
        <w:t xml:space="preserve"> used in certain projects on an experimental basis</w:t>
      </w:r>
      <w:r w:rsidR="00A01DF8" w:rsidRPr="009571FD">
        <w:rPr>
          <w:i/>
          <w:sz w:val="22"/>
          <w:szCs w:val="22"/>
        </w:rPr>
        <w:t>.</w:t>
      </w:r>
    </w:p>
    <w:p w14:paraId="4BA32CEB" w14:textId="0A4C3290" w:rsidR="00236BF0" w:rsidRPr="009571FD" w:rsidRDefault="00236BF0" w:rsidP="00DC5830">
      <w:pPr>
        <w:spacing w:after="0"/>
        <w:jc w:val="both"/>
        <w:rPr>
          <w:i/>
          <w:sz w:val="22"/>
          <w:szCs w:val="22"/>
        </w:rPr>
      </w:pPr>
      <w:r w:rsidRPr="009571FD">
        <w:rPr>
          <w:i/>
          <w:sz w:val="22"/>
          <w:szCs w:val="22"/>
        </w:rPr>
        <w:t xml:space="preserve">3 – Risk stratification </w:t>
      </w:r>
      <w:r w:rsidR="00997B1F" w:rsidRPr="009571FD">
        <w:rPr>
          <w:i/>
          <w:sz w:val="22"/>
          <w:szCs w:val="22"/>
        </w:rPr>
        <w:t xml:space="preserve">is </w:t>
      </w:r>
      <w:r w:rsidRPr="009571FD">
        <w:rPr>
          <w:i/>
          <w:sz w:val="22"/>
          <w:szCs w:val="22"/>
        </w:rPr>
        <w:t>used for specific groups</w:t>
      </w:r>
      <w:r w:rsidR="00C9636D" w:rsidRPr="009571FD">
        <w:rPr>
          <w:i/>
          <w:sz w:val="22"/>
          <w:szCs w:val="22"/>
        </w:rPr>
        <w:t xml:space="preserve"> and these are involved </w:t>
      </w:r>
      <w:r w:rsidR="00997B1F" w:rsidRPr="009571FD">
        <w:rPr>
          <w:i/>
          <w:sz w:val="22"/>
          <w:szCs w:val="22"/>
        </w:rPr>
        <w:t>(</w:t>
      </w:r>
      <w:r w:rsidRPr="009571FD">
        <w:rPr>
          <w:i/>
          <w:sz w:val="22"/>
          <w:szCs w:val="22"/>
        </w:rPr>
        <w:t>i.e. those who are at risk of becoming frequent service users</w:t>
      </w:r>
      <w:r w:rsidR="00997B1F" w:rsidRPr="009571FD">
        <w:rPr>
          <w:i/>
          <w:sz w:val="22"/>
          <w:szCs w:val="22"/>
        </w:rPr>
        <w:t>)</w:t>
      </w:r>
      <w:r w:rsidR="00A01DF8" w:rsidRPr="009571FD">
        <w:rPr>
          <w:i/>
          <w:sz w:val="22"/>
          <w:szCs w:val="22"/>
        </w:rPr>
        <w:t>.</w:t>
      </w:r>
    </w:p>
    <w:p w14:paraId="4DFEFDED" w14:textId="4F7F9F1C" w:rsidR="00236BF0" w:rsidRPr="009571FD" w:rsidRDefault="00236BF0" w:rsidP="00DC5830">
      <w:pPr>
        <w:spacing w:after="0"/>
        <w:jc w:val="both"/>
        <w:rPr>
          <w:i/>
          <w:sz w:val="22"/>
          <w:szCs w:val="22"/>
        </w:rPr>
      </w:pPr>
      <w:r w:rsidRPr="009571FD">
        <w:rPr>
          <w:i/>
          <w:sz w:val="22"/>
          <w:szCs w:val="22"/>
        </w:rPr>
        <w:t>4 – A population risk approach is applied but not yet systematically or to the full population</w:t>
      </w:r>
      <w:r w:rsidR="00C9636D" w:rsidRPr="009571FD">
        <w:rPr>
          <w:i/>
          <w:sz w:val="22"/>
          <w:szCs w:val="22"/>
        </w:rPr>
        <w:t>, and tools exist to support citizens to participate in decision-making process</w:t>
      </w:r>
      <w:r w:rsidR="00997B1F" w:rsidRPr="009571FD">
        <w:rPr>
          <w:i/>
          <w:sz w:val="22"/>
          <w:szCs w:val="22"/>
        </w:rPr>
        <w:t>es</w:t>
      </w:r>
      <w:r w:rsidR="00C9636D" w:rsidRPr="009571FD">
        <w:rPr>
          <w:i/>
          <w:sz w:val="22"/>
          <w:szCs w:val="22"/>
        </w:rPr>
        <w:t xml:space="preserve"> about their own health</w:t>
      </w:r>
      <w:r w:rsidR="00A01DF8" w:rsidRPr="009571FD">
        <w:rPr>
          <w:i/>
          <w:sz w:val="22"/>
          <w:szCs w:val="22"/>
        </w:rPr>
        <w:t>.</w:t>
      </w:r>
    </w:p>
    <w:p w14:paraId="3335E5AA" w14:textId="72436678" w:rsidR="00236BF0" w:rsidRPr="009571FD" w:rsidRDefault="00236BF0" w:rsidP="009571FD">
      <w:pPr>
        <w:spacing w:after="240" w:line="240" w:lineRule="auto"/>
        <w:jc w:val="both"/>
        <w:rPr>
          <w:i/>
          <w:sz w:val="22"/>
          <w:szCs w:val="22"/>
        </w:rPr>
      </w:pPr>
      <w:r w:rsidRPr="009571FD">
        <w:rPr>
          <w:i/>
          <w:sz w:val="22"/>
          <w:szCs w:val="22"/>
        </w:rPr>
        <w:t>5 – Whole population stratification</w:t>
      </w:r>
      <w:r w:rsidR="00C9636D" w:rsidRPr="009571FD">
        <w:rPr>
          <w:i/>
          <w:sz w:val="22"/>
          <w:szCs w:val="22"/>
        </w:rPr>
        <w:t xml:space="preserve"> deployed and fully implemented, and citizens are fully engaged and included in decision-making processes about their health. </w:t>
      </w:r>
      <w:r w:rsidRPr="009571FD">
        <w:rPr>
          <w:i/>
          <w:sz w:val="22"/>
          <w:szCs w:val="22"/>
        </w:rPr>
        <w:t xml:space="preserve"> </w:t>
      </w:r>
    </w:p>
    <w:p w14:paraId="5FEFA6CE" w14:textId="356B576F" w:rsidR="00C9636D" w:rsidRDefault="000376DA" w:rsidP="00C9636D">
      <w:pPr>
        <w:pStyle w:val="Cmsor3"/>
        <w:jc w:val="both"/>
      </w:pPr>
      <w:bookmarkStart w:id="17" w:name="_Toc167702776"/>
      <w:r>
        <w:t>3</w:t>
      </w:r>
      <w:r w:rsidR="00C9636D">
        <w:t>.2.9. Innovation Management</w:t>
      </w:r>
      <w:bookmarkEnd w:id="17"/>
    </w:p>
    <w:p w14:paraId="07DF0E2C" w14:textId="77777777" w:rsidR="00C9636D" w:rsidRDefault="00C9636D" w:rsidP="00C9636D">
      <w:pPr>
        <w:jc w:val="both"/>
        <w:rPr>
          <w:b/>
        </w:rPr>
      </w:pPr>
      <w:r>
        <w:rPr>
          <w:b/>
        </w:rPr>
        <w:t>Objectives</w:t>
      </w:r>
    </w:p>
    <w:p w14:paraId="132F5F97" w14:textId="2FD7BE56" w:rsidR="00C9636D" w:rsidRDefault="00C9636D" w:rsidP="00C9636D">
      <w:pPr>
        <w:jc w:val="both"/>
      </w:pPr>
      <w:r>
        <w:t xml:space="preserve">Many of the best ideas are likely to come from healthcare professionals who understand where improvements can be made to existing processes. These innovations need to be recognised, assessed and, where possible, scaled up to provide benefit across the system. At the same time, universities and private sector companies are increasingly willing to engage in open innovation and innovative procurement </w:t>
      </w:r>
      <w:r w:rsidR="00997B1F">
        <w:t>to</w:t>
      </w:r>
      <w:r>
        <w:t xml:space="preserve"> develop new technologies, test process improvements and deliver new services that meet the needs of citizens. There is also value in looking outside the system to other regions and countries that are dealing with the same set of challenges, to learn from their experiences. Overall, this means managing the innovation process </w:t>
      </w:r>
      <w:r>
        <w:lastRenderedPageBreak/>
        <w:t>to get the best results for the systems of care and ensuring that good ideas are encouraged and rewarded.</w:t>
      </w:r>
    </w:p>
    <w:p w14:paraId="1B72E0C6" w14:textId="0A06B0F9" w:rsidR="00C9636D" w:rsidRDefault="00C9636D" w:rsidP="00C9636D">
      <w:pPr>
        <w:numPr>
          <w:ilvl w:val="0"/>
          <w:numId w:val="2"/>
        </w:numPr>
        <w:pBdr>
          <w:top w:val="nil"/>
          <w:left w:val="nil"/>
          <w:bottom w:val="nil"/>
          <w:right w:val="nil"/>
          <w:between w:val="nil"/>
        </w:pBdr>
        <w:spacing w:after="0"/>
        <w:jc w:val="both"/>
        <w:rPr>
          <w:color w:val="000000"/>
        </w:rPr>
      </w:pPr>
      <w:r>
        <w:rPr>
          <w:color w:val="000000"/>
        </w:rPr>
        <w:t>Adopting proven ideas faster</w:t>
      </w:r>
      <w:r w:rsidR="004926E0">
        <w:rPr>
          <w:color w:val="000000"/>
        </w:rPr>
        <w:t>.</w:t>
      </w:r>
    </w:p>
    <w:p w14:paraId="2125D942" w14:textId="1D3EDDD9" w:rsidR="00C9636D" w:rsidRDefault="00C9636D" w:rsidP="00C9636D">
      <w:pPr>
        <w:numPr>
          <w:ilvl w:val="0"/>
          <w:numId w:val="17"/>
        </w:numPr>
        <w:pBdr>
          <w:top w:val="nil"/>
          <w:left w:val="nil"/>
          <w:bottom w:val="nil"/>
          <w:right w:val="nil"/>
          <w:between w:val="nil"/>
        </w:pBdr>
        <w:spacing w:after="0"/>
        <w:jc w:val="both"/>
        <w:rPr>
          <w:color w:val="000000"/>
        </w:rPr>
      </w:pPr>
      <w:r>
        <w:rPr>
          <w:color w:val="000000"/>
        </w:rPr>
        <w:t>Enabling an atmosphere of innovation from top to bottom, with collection and diffusion of best practice</w:t>
      </w:r>
      <w:r w:rsidR="00AF0147">
        <w:rPr>
          <w:color w:val="000000"/>
        </w:rPr>
        <w:t>s</w:t>
      </w:r>
      <w:r w:rsidR="004926E0">
        <w:rPr>
          <w:color w:val="000000"/>
        </w:rPr>
        <w:t>.</w:t>
      </w:r>
    </w:p>
    <w:p w14:paraId="440C7DD6" w14:textId="233316D4" w:rsidR="00C9636D" w:rsidRDefault="00C9636D" w:rsidP="00C9636D">
      <w:pPr>
        <w:numPr>
          <w:ilvl w:val="0"/>
          <w:numId w:val="17"/>
        </w:numPr>
        <w:pBdr>
          <w:top w:val="nil"/>
          <w:left w:val="nil"/>
          <w:bottom w:val="nil"/>
          <w:right w:val="nil"/>
          <w:between w:val="nil"/>
        </w:pBdr>
        <w:spacing w:after="0"/>
        <w:jc w:val="both"/>
        <w:rPr>
          <w:color w:val="000000"/>
        </w:rPr>
      </w:pPr>
      <w:r>
        <w:rPr>
          <w:color w:val="000000"/>
        </w:rPr>
        <w:t>Learning from inside the system, as well as from other regions, to expand thinking and speed up change</w:t>
      </w:r>
      <w:r w:rsidR="004926E0">
        <w:rPr>
          <w:color w:val="000000"/>
        </w:rPr>
        <w:t>.</w:t>
      </w:r>
    </w:p>
    <w:p w14:paraId="2E4451CF" w14:textId="28776D21" w:rsidR="00C9636D" w:rsidRDefault="00C9636D" w:rsidP="00C9636D">
      <w:pPr>
        <w:numPr>
          <w:ilvl w:val="0"/>
          <w:numId w:val="17"/>
        </w:numPr>
        <w:pBdr>
          <w:top w:val="nil"/>
          <w:left w:val="nil"/>
          <w:bottom w:val="nil"/>
          <w:right w:val="nil"/>
          <w:between w:val="nil"/>
        </w:pBdr>
        <w:spacing w:after="0"/>
        <w:jc w:val="both"/>
        <w:rPr>
          <w:color w:val="000000"/>
        </w:rPr>
      </w:pPr>
      <w:r>
        <w:rPr>
          <w:color w:val="000000"/>
        </w:rPr>
        <w:t>Involving r</w:t>
      </w:r>
      <w:r w:rsidR="004926E0">
        <w:rPr>
          <w:color w:val="000000"/>
        </w:rPr>
        <w:t>egional</w:t>
      </w:r>
      <w:r>
        <w:rPr>
          <w:color w:val="000000"/>
        </w:rPr>
        <w:t xml:space="preserve"> health </w:t>
      </w:r>
      <w:r w:rsidR="004926E0">
        <w:rPr>
          <w:color w:val="000000"/>
        </w:rPr>
        <w:t>care</w:t>
      </w:r>
      <w:r>
        <w:rPr>
          <w:color w:val="000000"/>
        </w:rPr>
        <w:t xml:space="preserve"> authorities, universities and private sector companies and other sectors in the innovation process (i.e., ‘open innovation’).</w:t>
      </w:r>
    </w:p>
    <w:p w14:paraId="0E034E97" w14:textId="65B426E5" w:rsidR="00C9636D" w:rsidRDefault="00C9636D" w:rsidP="00C9636D">
      <w:pPr>
        <w:numPr>
          <w:ilvl w:val="0"/>
          <w:numId w:val="17"/>
        </w:numPr>
        <w:pBdr>
          <w:top w:val="nil"/>
          <w:left w:val="nil"/>
          <w:bottom w:val="nil"/>
          <w:right w:val="nil"/>
          <w:between w:val="nil"/>
        </w:pBdr>
        <w:spacing w:after="0"/>
        <w:jc w:val="both"/>
        <w:rPr>
          <w:color w:val="000000"/>
        </w:rPr>
      </w:pPr>
      <w:r>
        <w:rPr>
          <w:color w:val="000000"/>
        </w:rPr>
        <w:t>Using innovative procurement approaches (Pre-Commercial Procurement, Public Procurement of Innovation, Public Private Partnerships, Shared Risk, Outcome-Based Payment)</w:t>
      </w:r>
      <w:r w:rsidR="004926E0">
        <w:rPr>
          <w:color w:val="000000"/>
        </w:rPr>
        <w:t>.</w:t>
      </w:r>
    </w:p>
    <w:p w14:paraId="2FEAA8E9" w14:textId="77369430" w:rsidR="00C9636D" w:rsidRDefault="00C9636D" w:rsidP="00C9636D">
      <w:pPr>
        <w:numPr>
          <w:ilvl w:val="0"/>
          <w:numId w:val="17"/>
        </w:numPr>
        <w:pBdr>
          <w:top w:val="nil"/>
          <w:left w:val="nil"/>
          <w:bottom w:val="nil"/>
          <w:right w:val="nil"/>
          <w:between w:val="nil"/>
        </w:pBdr>
        <w:jc w:val="both"/>
        <w:rPr>
          <w:color w:val="000000"/>
        </w:rPr>
      </w:pPr>
      <w:r>
        <w:rPr>
          <w:color w:val="000000"/>
        </w:rPr>
        <w:t>Using European projects and partnerships (e.g., Horizon 2020, European Regional Development Funds, European Social Investment Funds</w:t>
      </w:r>
      <w:r w:rsidR="00AF0147">
        <w:rPr>
          <w:color w:val="000000"/>
        </w:rPr>
        <w:t xml:space="preserve"> etc.</w:t>
      </w:r>
      <w:r>
        <w:rPr>
          <w:color w:val="000000"/>
        </w:rPr>
        <w:t>).</w:t>
      </w:r>
    </w:p>
    <w:p w14:paraId="585EB302" w14:textId="77777777" w:rsidR="00C9636D" w:rsidRPr="009571FD" w:rsidRDefault="00C9636D" w:rsidP="00C9636D">
      <w:pPr>
        <w:spacing w:line="240" w:lineRule="auto"/>
        <w:jc w:val="both"/>
        <w:rPr>
          <w:b/>
          <w:i/>
          <w:sz w:val="22"/>
          <w:szCs w:val="22"/>
          <w:u w:val="single"/>
        </w:rPr>
      </w:pPr>
      <w:r w:rsidRPr="009571FD">
        <w:rPr>
          <w:b/>
          <w:i/>
          <w:sz w:val="22"/>
          <w:szCs w:val="22"/>
          <w:u w:val="single"/>
        </w:rPr>
        <w:t>Assessment scale</w:t>
      </w:r>
    </w:p>
    <w:p w14:paraId="44062EB1" w14:textId="3D465013" w:rsidR="00C9636D" w:rsidRPr="009571FD" w:rsidRDefault="00C9636D" w:rsidP="00DC5830">
      <w:pPr>
        <w:spacing w:after="0"/>
        <w:jc w:val="both"/>
        <w:rPr>
          <w:i/>
          <w:sz w:val="22"/>
          <w:szCs w:val="22"/>
        </w:rPr>
      </w:pPr>
      <w:r w:rsidRPr="009571FD">
        <w:rPr>
          <w:i/>
          <w:sz w:val="22"/>
          <w:szCs w:val="22"/>
        </w:rPr>
        <w:t>0 – No innovation management in place</w:t>
      </w:r>
      <w:r w:rsidR="00A01DF8" w:rsidRPr="009571FD">
        <w:rPr>
          <w:i/>
          <w:sz w:val="22"/>
          <w:szCs w:val="22"/>
        </w:rPr>
        <w:t>.</w:t>
      </w:r>
    </w:p>
    <w:p w14:paraId="3C3A0369" w14:textId="3255B1BE" w:rsidR="00C9636D" w:rsidRPr="009571FD" w:rsidRDefault="00C9636D" w:rsidP="00DC5830">
      <w:pPr>
        <w:spacing w:after="0"/>
        <w:jc w:val="both"/>
        <w:rPr>
          <w:i/>
          <w:sz w:val="22"/>
          <w:szCs w:val="22"/>
        </w:rPr>
      </w:pPr>
      <w:r w:rsidRPr="009571FD">
        <w:rPr>
          <w:i/>
          <w:sz w:val="22"/>
          <w:szCs w:val="22"/>
        </w:rPr>
        <w:t>1 – Innovation is encouraged but there is no overall plan</w:t>
      </w:r>
      <w:r w:rsidR="00A01DF8" w:rsidRPr="009571FD">
        <w:rPr>
          <w:i/>
          <w:sz w:val="22"/>
          <w:szCs w:val="22"/>
        </w:rPr>
        <w:t>.</w:t>
      </w:r>
    </w:p>
    <w:p w14:paraId="18A19516" w14:textId="68E110E5" w:rsidR="00C9636D" w:rsidRPr="009571FD" w:rsidRDefault="00C9636D" w:rsidP="00DC5830">
      <w:pPr>
        <w:spacing w:after="0"/>
        <w:jc w:val="both"/>
        <w:rPr>
          <w:i/>
          <w:sz w:val="22"/>
          <w:szCs w:val="22"/>
        </w:rPr>
      </w:pPr>
      <w:r w:rsidRPr="009571FD">
        <w:rPr>
          <w:i/>
          <w:sz w:val="22"/>
          <w:szCs w:val="22"/>
        </w:rPr>
        <w:t>2 – Innovations are captured and there are some mechanisms in place to encourage knowledge transfer</w:t>
      </w:r>
      <w:r w:rsidR="00A01DF8" w:rsidRPr="009571FD">
        <w:rPr>
          <w:i/>
          <w:sz w:val="22"/>
          <w:szCs w:val="22"/>
        </w:rPr>
        <w:t>.</w:t>
      </w:r>
    </w:p>
    <w:p w14:paraId="09E11A7A" w14:textId="3293AEBB" w:rsidR="00C9636D" w:rsidRPr="009571FD" w:rsidRDefault="00C9636D" w:rsidP="00DC5830">
      <w:pPr>
        <w:spacing w:after="0"/>
        <w:jc w:val="both"/>
        <w:rPr>
          <w:i/>
          <w:sz w:val="22"/>
          <w:szCs w:val="22"/>
        </w:rPr>
      </w:pPr>
      <w:r w:rsidRPr="009571FD">
        <w:rPr>
          <w:i/>
          <w:sz w:val="22"/>
          <w:szCs w:val="22"/>
        </w:rPr>
        <w:t xml:space="preserve">3 – </w:t>
      </w:r>
      <w:r w:rsidR="00AF0147" w:rsidRPr="009571FD">
        <w:rPr>
          <w:i/>
          <w:sz w:val="22"/>
          <w:szCs w:val="22"/>
        </w:rPr>
        <w:t>A f</w:t>
      </w:r>
      <w:r w:rsidRPr="009571FD">
        <w:rPr>
          <w:i/>
          <w:sz w:val="22"/>
          <w:szCs w:val="22"/>
        </w:rPr>
        <w:t>ormalised innovation management process is planned and partially implemented</w:t>
      </w:r>
      <w:r w:rsidR="00A01DF8" w:rsidRPr="009571FD">
        <w:rPr>
          <w:i/>
          <w:sz w:val="22"/>
          <w:szCs w:val="22"/>
        </w:rPr>
        <w:t>.</w:t>
      </w:r>
    </w:p>
    <w:p w14:paraId="1BC1779D" w14:textId="25DC2DC2" w:rsidR="00C9636D" w:rsidRPr="009571FD" w:rsidRDefault="00C9636D" w:rsidP="00DC5830">
      <w:pPr>
        <w:spacing w:after="0"/>
        <w:jc w:val="both"/>
        <w:rPr>
          <w:i/>
          <w:sz w:val="22"/>
          <w:szCs w:val="22"/>
        </w:rPr>
      </w:pPr>
      <w:r w:rsidRPr="009571FD">
        <w:rPr>
          <w:i/>
          <w:sz w:val="22"/>
          <w:szCs w:val="22"/>
        </w:rPr>
        <w:t xml:space="preserve">4 – </w:t>
      </w:r>
      <w:r w:rsidR="00AF0147" w:rsidRPr="009571FD">
        <w:rPr>
          <w:i/>
          <w:sz w:val="22"/>
          <w:szCs w:val="22"/>
        </w:rPr>
        <w:t>A f</w:t>
      </w:r>
      <w:r w:rsidRPr="009571FD">
        <w:rPr>
          <w:i/>
          <w:sz w:val="22"/>
          <w:szCs w:val="22"/>
        </w:rPr>
        <w:t>ormalised innovation management process is in place and widely implemented</w:t>
      </w:r>
      <w:r w:rsidR="00A01DF8" w:rsidRPr="009571FD">
        <w:rPr>
          <w:i/>
          <w:sz w:val="22"/>
          <w:szCs w:val="22"/>
        </w:rPr>
        <w:t>.</w:t>
      </w:r>
    </w:p>
    <w:p w14:paraId="74BFAF72" w14:textId="6764E380" w:rsidR="00C9636D" w:rsidRPr="009571FD" w:rsidRDefault="00C9636D" w:rsidP="009571FD">
      <w:pPr>
        <w:spacing w:after="240" w:line="240" w:lineRule="auto"/>
        <w:jc w:val="both"/>
        <w:rPr>
          <w:i/>
          <w:sz w:val="22"/>
          <w:szCs w:val="22"/>
        </w:rPr>
      </w:pPr>
      <w:r w:rsidRPr="009571FD">
        <w:rPr>
          <w:i/>
          <w:sz w:val="22"/>
          <w:szCs w:val="22"/>
        </w:rPr>
        <w:t>5 – Extensive open innovation combined with supporting procurement and the diffusion of good practice</w:t>
      </w:r>
      <w:r w:rsidR="00AF0147" w:rsidRPr="009571FD">
        <w:rPr>
          <w:i/>
          <w:sz w:val="22"/>
          <w:szCs w:val="22"/>
        </w:rPr>
        <w:t>s</w:t>
      </w:r>
      <w:r w:rsidRPr="009571FD">
        <w:rPr>
          <w:i/>
          <w:sz w:val="22"/>
          <w:szCs w:val="22"/>
        </w:rPr>
        <w:t xml:space="preserve"> </w:t>
      </w:r>
      <w:r w:rsidR="00AF0147" w:rsidRPr="009571FD">
        <w:rPr>
          <w:i/>
          <w:sz w:val="22"/>
          <w:szCs w:val="22"/>
        </w:rPr>
        <w:t>are</w:t>
      </w:r>
      <w:r w:rsidRPr="009571FD">
        <w:rPr>
          <w:i/>
          <w:sz w:val="22"/>
          <w:szCs w:val="22"/>
        </w:rPr>
        <w:t xml:space="preserve"> in place</w:t>
      </w:r>
      <w:r w:rsidR="00A01DF8" w:rsidRPr="009571FD">
        <w:rPr>
          <w:i/>
          <w:sz w:val="22"/>
          <w:szCs w:val="22"/>
        </w:rPr>
        <w:t>.</w:t>
      </w:r>
    </w:p>
    <w:p w14:paraId="028CDB51" w14:textId="08AE8411" w:rsidR="004926E0" w:rsidRDefault="000376DA" w:rsidP="004926E0">
      <w:pPr>
        <w:pStyle w:val="Cmsor3"/>
        <w:jc w:val="both"/>
      </w:pPr>
      <w:bookmarkStart w:id="18" w:name="_Toc167702777"/>
      <w:r>
        <w:t>3</w:t>
      </w:r>
      <w:r w:rsidR="004926E0">
        <w:t>.2.10. Evaluation Methods</w:t>
      </w:r>
      <w:bookmarkEnd w:id="18"/>
    </w:p>
    <w:p w14:paraId="70C6520B" w14:textId="77777777" w:rsidR="004926E0" w:rsidRDefault="004926E0" w:rsidP="004926E0">
      <w:pPr>
        <w:jc w:val="both"/>
        <w:rPr>
          <w:b/>
          <w:i/>
        </w:rPr>
      </w:pPr>
      <w:r>
        <w:rPr>
          <w:b/>
          <w:i/>
        </w:rPr>
        <w:t>Objectives</w:t>
      </w:r>
    </w:p>
    <w:p w14:paraId="034662DE" w14:textId="56C84EBD" w:rsidR="004926E0" w:rsidRDefault="004926E0" w:rsidP="004926E0">
      <w:pPr>
        <w:jc w:val="both"/>
      </w:pPr>
      <w:r>
        <w:t xml:space="preserve">As new approaches and solutions are introduced to support digital health, there is a clear need to ensure that the changes are having the desired effect on quality of care, cost of care, access and citizen experience. This supports the concept of </w:t>
      </w:r>
      <w:r w:rsidR="00AF0147">
        <w:t>evidence-based</w:t>
      </w:r>
      <w:r>
        <w:t xml:space="preserve"> investment, where the impact of</w:t>
      </w:r>
      <w:r w:rsidR="00A01DF8">
        <w:t xml:space="preserve"> each change is evaluated, e.g. </w:t>
      </w:r>
      <w:r>
        <w:t xml:space="preserve">by health economists and health policy experts working in universities or in special agencies. Health technology assessment (HTA) is an important method here and can be used to justify the cost of scaling up digital health solutions to </w:t>
      </w:r>
      <w:r w:rsidR="00AF0147">
        <w:t xml:space="preserve">the </w:t>
      </w:r>
      <w:r>
        <w:t>regional or national level.</w:t>
      </w:r>
    </w:p>
    <w:p w14:paraId="3E4B9439" w14:textId="10C2139B" w:rsidR="004926E0" w:rsidRDefault="004926E0" w:rsidP="004926E0">
      <w:pPr>
        <w:numPr>
          <w:ilvl w:val="0"/>
          <w:numId w:val="15"/>
        </w:numPr>
        <w:pBdr>
          <w:top w:val="nil"/>
          <w:left w:val="nil"/>
          <w:bottom w:val="nil"/>
          <w:right w:val="nil"/>
          <w:between w:val="nil"/>
        </w:pBdr>
        <w:spacing w:after="0"/>
        <w:jc w:val="both"/>
        <w:rPr>
          <w:color w:val="000000"/>
        </w:rPr>
      </w:pPr>
      <w:r>
        <w:rPr>
          <w:color w:val="000000"/>
        </w:rPr>
        <w:t xml:space="preserve">Establishing baselines (on cost, quality, access etc.) </w:t>
      </w:r>
      <w:r w:rsidR="00AF0147">
        <w:rPr>
          <w:color w:val="000000"/>
        </w:rPr>
        <w:t>before the introduction of a</w:t>
      </w:r>
      <w:r>
        <w:rPr>
          <w:color w:val="000000"/>
        </w:rPr>
        <w:t xml:space="preserve"> new service.</w:t>
      </w:r>
    </w:p>
    <w:p w14:paraId="748223AD" w14:textId="77777777" w:rsidR="004926E0" w:rsidRDefault="004926E0" w:rsidP="004926E0">
      <w:pPr>
        <w:numPr>
          <w:ilvl w:val="0"/>
          <w:numId w:val="15"/>
        </w:numPr>
        <w:pBdr>
          <w:top w:val="nil"/>
          <w:left w:val="nil"/>
          <w:bottom w:val="nil"/>
          <w:right w:val="nil"/>
          <w:between w:val="nil"/>
        </w:pBdr>
        <w:spacing w:after="0"/>
        <w:jc w:val="both"/>
        <w:rPr>
          <w:color w:val="000000"/>
        </w:rPr>
      </w:pPr>
      <w:r>
        <w:rPr>
          <w:color w:val="000000"/>
        </w:rPr>
        <w:t>Systematically measuring the impact of new services and pathways using appropriate methods (e.g., observational studies, incremental improvement, clinical trials).</w:t>
      </w:r>
    </w:p>
    <w:p w14:paraId="3F9F93F1" w14:textId="45AA8B48" w:rsidR="004926E0" w:rsidRDefault="004926E0" w:rsidP="004926E0">
      <w:pPr>
        <w:numPr>
          <w:ilvl w:val="0"/>
          <w:numId w:val="15"/>
        </w:numPr>
        <w:pBdr>
          <w:top w:val="nil"/>
          <w:left w:val="nil"/>
          <w:bottom w:val="nil"/>
          <w:right w:val="nil"/>
          <w:between w:val="nil"/>
        </w:pBdr>
        <w:jc w:val="both"/>
        <w:rPr>
          <w:color w:val="000000"/>
        </w:rPr>
      </w:pPr>
      <w:r>
        <w:rPr>
          <w:color w:val="000000"/>
        </w:rPr>
        <w:t>Generating evidence that leads to faster adoption of good practice</w:t>
      </w:r>
      <w:r w:rsidR="00AF0147">
        <w:rPr>
          <w:color w:val="000000"/>
        </w:rPr>
        <w:t>s</w:t>
      </w:r>
      <w:r>
        <w:rPr>
          <w:color w:val="000000"/>
        </w:rPr>
        <w:t>.</w:t>
      </w:r>
    </w:p>
    <w:p w14:paraId="67FB5433" w14:textId="77777777" w:rsidR="004926E0" w:rsidRPr="009571FD" w:rsidRDefault="004926E0" w:rsidP="005B7A3E">
      <w:pPr>
        <w:keepNext/>
        <w:jc w:val="both"/>
        <w:rPr>
          <w:b/>
          <w:i/>
          <w:sz w:val="22"/>
          <w:szCs w:val="22"/>
          <w:u w:val="single"/>
        </w:rPr>
      </w:pPr>
      <w:r w:rsidRPr="009571FD">
        <w:rPr>
          <w:b/>
          <w:i/>
          <w:sz w:val="22"/>
          <w:szCs w:val="22"/>
          <w:u w:val="single"/>
        </w:rPr>
        <w:lastRenderedPageBreak/>
        <w:t>Assessment scale</w:t>
      </w:r>
    </w:p>
    <w:p w14:paraId="2FDA0597" w14:textId="0EBA032C" w:rsidR="004926E0" w:rsidRPr="009571FD" w:rsidRDefault="004926E0" w:rsidP="00DC5830">
      <w:pPr>
        <w:spacing w:after="0"/>
        <w:jc w:val="both"/>
        <w:rPr>
          <w:i/>
          <w:sz w:val="22"/>
          <w:szCs w:val="22"/>
        </w:rPr>
      </w:pPr>
      <w:r w:rsidRPr="009571FD">
        <w:rPr>
          <w:i/>
          <w:sz w:val="22"/>
          <w:szCs w:val="22"/>
        </w:rPr>
        <w:t>0 – No evaluation of digital health solutions is in place or in development</w:t>
      </w:r>
      <w:r w:rsidR="00A01DF8" w:rsidRPr="009571FD">
        <w:rPr>
          <w:i/>
          <w:sz w:val="22"/>
          <w:szCs w:val="22"/>
        </w:rPr>
        <w:t>.</w:t>
      </w:r>
    </w:p>
    <w:p w14:paraId="5A153C42" w14:textId="1A675FF1" w:rsidR="004926E0" w:rsidRPr="009571FD" w:rsidRDefault="004926E0" w:rsidP="00DC5830">
      <w:pPr>
        <w:spacing w:after="0"/>
        <w:jc w:val="both"/>
        <w:rPr>
          <w:i/>
          <w:sz w:val="22"/>
          <w:szCs w:val="22"/>
        </w:rPr>
      </w:pPr>
      <w:r w:rsidRPr="009571FD">
        <w:rPr>
          <w:i/>
          <w:sz w:val="22"/>
          <w:szCs w:val="22"/>
        </w:rPr>
        <w:t>1 – Evaluation of digital health solutions is planned to take place and be established as part of a systematic approach</w:t>
      </w:r>
      <w:r w:rsidR="00A01DF8" w:rsidRPr="009571FD">
        <w:rPr>
          <w:i/>
          <w:sz w:val="22"/>
          <w:szCs w:val="22"/>
        </w:rPr>
        <w:t>.</w:t>
      </w:r>
    </w:p>
    <w:p w14:paraId="7BB597F9" w14:textId="4654785A" w:rsidR="004926E0" w:rsidRPr="009571FD" w:rsidRDefault="004926E0" w:rsidP="00DC5830">
      <w:pPr>
        <w:spacing w:after="0"/>
        <w:jc w:val="both"/>
        <w:rPr>
          <w:i/>
          <w:sz w:val="22"/>
          <w:szCs w:val="22"/>
        </w:rPr>
      </w:pPr>
      <w:r w:rsidRPr="009571FD">
        <w:rPr>
          <w:i/>
          <w:sz w:val="22"/>
          <w:szCs w:val="22"/>
        </w:rPr>
        <w:t>2 – Evaluation of digital health solutions exists, but not as a part of a systematic approach</w:t>
      </w:r>
      <w:r w:rsidR="00A01DF8" w:rsidRPr="009571FD">
        <w:rPr>
          <w:i/>
          <w:sz w:val="22"/>
          <w:szCs w:val="22"/>
        </w:rPr>
        <w:t>.</w:t>
      </w:r>
    </w:p>
    <w:p w14:paraId="00943029" w14:textId="06A506C9" w:rsidR="004926E0" w:rsidRPr="009571FD" w:rsidRDefault="004926E0" w:rsidP="00DC5830">
      <w:pPr>
        <w:spacing w:after="0"/>
        <w:jc w:val="both"/>
        <w:rPr>
          <w:i/>
          <w:sz w:val="22"/>
          <w:szCs w:val="22"/>
        </w:rPr>
      </w:pPr>
      <w:r w:rsidRPr="009571FD">
        <w:rPr>
          <w:i/>
          <w:sz w:val="22"/>
          <w:szCs w:val="22"/>
        </w:rPr>
        <w:t>3 – Some digital health solutions are evaluated as part of a systematic approach</w:t>
      </w:r>
      <w:r w:rsidR="009571FD" w:rsidRPr="009571FD">
        <w:rPr>
          <w:i/>
          <w:sz w:val="22"/>
          <w:szCs w:val="22"/>
        </w:rPr>
        <w:t xml:space="preserve"> </w:t>
      </w:r>
      <w:r w:rsidR="009571FD" w:rsidRPr="00DC5830">
        <w:rPr>
          <w:i/>
          <w:sz w:val="22"/>
          <w:szCs w:val="22"/>
        </w:rPr>
        <w:t>(not necessarily designed explicitly for digital health)</w:t>
      </w:r>
      <w:r w:rsidR="00A01DF8" w:rsidRPr="009571FD">
        <w:rPr>
          <w:i/>
          <w:sz w:val="22"/>
          <w:szCs w:val="22"/>
        </w:rPr>
        <w:t>.</w:t>
      </w:r>
    </w:p>
    <w:p w14:paraId="50083C62" w14:textId="7DC036EC" w:rsidR="004926E0" w:rsidRPr="009571FD" w:rsidRDefault="004926E0" w:rsidP="00DC5830">
      <w:pPr>
        <w:spacing w:after="0"/>
        <w:jc w:val="both"/>
        <w:rPr>
          <w:i/>
          <w:sz w:val="22"/>
          <w:szCs w:val="22"/>
        </w:rPr>
      </w:pPr>
      <w:r w:rsidRPr="009571FD">
        <w:rPr>
          <w:i/>
          <w:sz w:val="22"/>
          <w:szCs w:val="22"/>
        </w:rPr>
        <w:t>4 – Most digital health solutions are subject to systematic evaluation; published results</w:t>
      </w:r>
      <w:r w:rsidR="00AF0147" w:rsidRPr="009571FD">
        <w:rPr>
          <w:i/>
          <w:sz w:val="22"/>
          <w:szCs w:val="22"/>
        </w:rPr>
        <w:t xml:space="preserve"> are available</w:t>
      </w:r>
      <w:r w:rsidR="00A01DF8" w:rsidRPr="009571FD">
        <w:rPr>
          <w:i/>
          <w:sz w:val="22"/>
          <w:szCs w:val="22"/>
        </w:rPr>
        <w:t>.</w:t>
      </w:r>
    </w:p>
    <w:p w14:paraId="1E3281C3" w14:textId="4E8239C3" w:rsidR="004926E0" w:rsidRPr="009571FD" w:rsidRDefault="004926E0" w:rsidP="009571FD">
      <w:pPr>
        <w:spacing w:after="240" w:line="240" w:lineRule="auto"/>
        <w:jc w:val="both"/>
        <w:rPr>
          <w:i/>
          <w:sz w:val="22"/>
          <w:szCs w:val="22"/>
        </w:rPr>
      </w:pPr>
      <w:r w:rsidRPr="009571FD">
        <w:rPr>
          <w:i/>
          <w:sz w:val="22"/>
          <w:szCs w:val="22"/>
        </w:rPr>
        <w:t xml:space="preserve">5 – A systematic approach to evaluation, responsiveness to the evaluation outcomes, and evaluation of the desired impact on service redesign (i.e., a closed loop process). </w:t>
      </w:r>
    </w:p>
    <w:p w14:paraId="51D160DF" w14:textId="77E6243A" w:rsidR="00A7567F" w:rsidRDefault="000376DA" w:rsidP="00A7567F">
      <w:pPr>
        <w:pStyle w:val="Cmsor3"/>
        <w:jc w:val="both"/>
      </w:pPr>
      <w:bookmarkStart w:id="19" w:name="_Toc167702778"/>
      <w:r>
        <w:t>3</w:t>
      </w:r>
      <w:r w:rsidR="00AB3E32">
        <w:t>.2.11</w:t>
      </w:r>
      <w:r w:rsidR="00A7567F">
        <w:t>. Breadth of Ambition</w:t>
      </w:r>
      <w:bookmarkEnd w:id="19"/>
    </w:p>
    <w:p w14:paraId="687E35A2" w14:textId="77777777" w:rsidR="00A7567F" w:rsidRDefault="00A7567F" w:rsidP="00A7567F">
      <w:pPr>
        <w:jc w:val="both"/>
        <w:rPr>
          <w:b/>
        </w:rPr>
      </w:pPr>
      <w:r>
        <w:rPr>
          <w:b/>
        </w:rPr>
        <w:t xml:space="preserve">Objectives </w:t>
      </w:r>
    </w:p>
    <w:p w14:paraId="4CDC73E6" w14:textId="0F4732E5" w:rsidR="00A7567F" w:rsidRDefault="00A7567F" w:rsidP="00A7567F">
      <w:pPr>
        <w:jc w:val="both"/>
      </w:pPr>
      <w:r>
        <w:t xml:space="preserve">Integrated </w:t>
      </w:r>
      <w:r w:rsidR="009429D9">
        <w:t xml:space="preserve">digital health solutions </w:t>
      </w:r>
      <w:r w:rsidR="003636DA">
        <w:t xml:space="preserve">require </w:t>
      </w:r>
      <w:r>
        <w:t xml:space="preserve">many levels of </w:t>
      </w:r>
      <w:r w:rsidR="009429D9">
        <w:t xml:space="preserve">cooperation </w:t>
      </w:r>
      <w:r>
        <w:t xml:space="preserve">of stakeholders involved in the care process, or across many organisations. The broader the ambition, the more numerous and diverse the stakeholders who have to be engaged. </w:t>
      </w:r>
      <w:r w:rsidR="009429D9">
        <w:t>Nonetheless</w:t>
      </w:r>
      <w:r>
        <w:t xml:space="preserve">, </w:t>
      </w:r>
      <w:r w:rsidR="009429D9">
        <w:t>integration of digital health solutions</w:t>
      </w:r>
      <w:r>
        <w:t xml:space="preserve"> may include all levels of the system or may be limited to clinical information sharing. The long-term goal should be fully </w:t>
      </w:r>
      <w:r w:rsidR="009429D9">
        <w:t>integrated digital health solutions,</w:t>
      </w:r>
      <w:r>
        <w:t xml:space="preserve"> which provide</w:t>
      </w:r>
      <w:r w:rsidR="009429D9">
        <w:t xml:space="preserve"> or enable to provide</w:t>
      </w:r>
      <w:r>
        <w:t xml:space="preserve"> a complete set of seamless </w:t>
      </w:r>
      <w:r w:rsidR="009429D9">
        <w:t>services</w:t>
      </w:r>
      <w:r>
        <w:t>, leading to better care and improved outcomes.</w:t>
      </w:r>
    </w:p>
    <w:p w14:paraId="4057158C" w14:textId="22845BE9" w:rsidR="00A7567F" w:rsidRDefault="009429D9" w:rsidP="00A7567F">
      <w:pPr>
        <w:numPr>
          <w:ilvl w:val="0"/>
          <w:numId w:val="16"/>
        </w:numPr>
        <w:pBdr>
          <w:top w:val="nil"/>
          <w:left w:val="nil"/>
          <w:bottom w:val="nil"/>
          <w:right w:val="nil"/>
          <w:between w:val="nil"/>
        </w:pBdr>
        <w:spacing w:after="0"/>
        <w:jc w:val="both"/>
        <w:rPr>
          <w:color w:val="000000"/>
        </w:rPr>
      </w:pPr>
      <w:r>
        <w:rPr>
          <w:color w:val="000000"/>
        </w:rPr>
        <w:t>Digital health</w:t>
      </w:r>
      <w:r w:rsidR="00A7567F">
        <w:rPr>
          <w:color w:val="000000"/>
        </w:rPr>
        <w:t xml:space="preserve"> supported at all levels within the healthcare system – at the macro (policy, structure), meso (organisational, professional) and micro (clinical) levels.</w:t>
      </w:r>
    </w:p>
    <w:p w14:paraId="75208D54" w14:textId="70FE64C6" w:rsidR="00A7567F" w:rsidRDefault="00A7567F" w:rsidP="00A7567F">
      <w:pPr>
        <w:numPr>
          <w:ilvl w:val="0"/>
          <w:numId w:val="16"/>
        </w:numPr>
        <w:pBdr>
          <w:top w:val="nil"/>
          <w:left w:val="nil"/>
          <w:bottom w:val="nil"/>
          <w:right w:val="nil"/>
          <w:between w:val="nil"/>
        </w:pBdr>
        <w:jc w:val="both"/>
        <w:rPr>
          <w:color w:val="000000"/>
        </w:rPr>
      </w:pPr>
      <w:r>
        <w:rPr>
          <w:color w:val="000000"/>
        </w:rPr>
        <w:t xml:space="preserve">Seamless </w:t>
      </w:r>
      <w:r w:rsidR="009429D9">
        <w:rPr>
          <w:color w:val="000000"/>
        </w:rPr>
        <w:t>interactions</w:t>
      </w:r>
      <w:r>
        <w:rPr>
          <w:color w:val="000000"/>
        </w:rPr>
        <w:t xml:space="preserve"> </w:t>
      </w:r>
      <w:r w:rsidR="00AB3E32">
        <w:rPr>
          <w:color w:val="000000"/>
        </w:rPr>
        <w:t xml:space="preserve">enabled by digital health solutions </w:t>
      </w:r>
      <w:r>
        <w:rPr>
          <w:color w:val="000000"/>
        </w:rPr>
        <w:t>for the patient between and within care services.</w:t>
      </w:r>
    </w:p>
    <w:p w14:paraId="7CDAB5DD" w14:textId="77777777" w:rsidR="00A7567F" w:rsidRPr="009571FD" w:rsidRDefault="00A7567F" w:rsidP="00A7567F">
      <w:pPr>
        <w:spacing w:line="240" w:lineRule="auto"/>
        <w:jc w:val="both"/>
        <w:rPr>
          <w:b/>
          <w:i/>
          <w:sz w:val="22"/>
          <w:szCs w:val="22"/>
          <w:u w:val="single"/>
        </w:rPr>
      </w:pPr>
      <w:r w:rsidRPr="009571FD">
        <w:rPr>
          <w:b/>
          <w:i/>
          <w:sz w:val="22"/>
          <w:szCs w:val="22"/>
          <w:u w:val="single"/>
        </w:rPr>
        <w:t>Assessment scale</w:t>
      </w:r>
    </w:p>
    <w:p w14:paraId="6D7FE448" w14:textId="28ECC654" w:rsidR="00A7567F" w:rsidRPr="009571FD" w:rsidRDefault="00A7567F" w:rsidP="00DC5830">
      <w:pPr>
        <w:spacing w:after="0"/>
        <w:jc w:val="both"/>
        <w:rPr>
          <w:i/>
          <w:sz w:val="22"/>
          <w:szCs w:val="22"/>
        </w:rPr>
      </w:pPr>
      <w:r w:rsidRPr="009571FD">
        <w:rPr>
          <w:i/>
          <w:sz w:val="22"/>
          <w:szCs w:val="22"/>
        </w:rPr>
        <w:t xml:space="preserve">0 – </w:t>
      </w:r>
      <w:r w:rsidR="009429D9" w:rsidRPr="009571FD">
        <w:rPr>
          <w:i/>
          <w:sz w:val="22"/>
          <w:szCs w:val="22"/>
        </w:rPr>
        <w:t>Digitalisation</w:t>
      </w:r>
      <w:r w:rsidRPr="009571FD">
        <w:rPr>
          <w:i/>
          <w:sz w:val="22"/>
          <w:szCs w:val="22"/>
        </w:rPr>
        <w:t xml:space="preserve"> arise bu</w:t>
      </w:r>
      <w:r w:rsidR="00BB5ACF" w:rsidRPr="009571FD">
        <w:rPr>
          <w:i/>
          <w:sz w:val="22"/>
          <w:szCs w:val="22"/>
        </w:rPr>
        <w:t>t not as a result of planning or st</w:t>
      </w:r>
      <w:r w:rsidR="00AB3E32" w:rsidRPr="009571FD">
        <w:rPr>
          <w:i/>
          <w:sz w:val="22"/>
          <w:szCs w:val="22"/>
        </w:rPr>
        <w:t>r</w:t>
      </w:r>
      <w:r w:rsidR="00BB5ACF" w:rsidRPr="009571FD">
        <w:rPr>
          <w:i/>
          <w:sz w:val="22"/>
          <w:szCs w:val="22"/>
        </w:rPr>
        <w:t>ategy.</w:t>
      </w:r>
    </w:p>
    <w:p w14:paraId="5E6587E1" w14:textId="5EEF4197" w:rsidR="00A7567F" w:rsidRPr="00DC5830" w:rsidRDefault="00A7567F" w:rsidP="00DC5830">
      <w:pPr>
        <w:spacing w:after="0"/>
        <w:jc w:val="both"/>
        <w:rPr>
          <w:i/>
          <w:sz w:val="22"/>
          <w:szCs w:val="22"/>
        </w:rPr>
      </w:pPr>
      <w:r w:rsidRPr="009571FD">
        <w:rPr>
          <w:i/>
          <w:sz w:val="22"/>
          <w:szCs w:val="22"/>
        </w:rPr>
        <w:t>1 – The</w:t>
      </w:r>
      <w:r w:rsidR="00BB5ACF" w:rsidRPr="009571FD">
        <w:rPr>
          <w:i/>
          <w:sz w:val="22"/>
          <w:szCs w:val="22"/>
        </w:rPr>
        <w:t>re are initiatives for digital health solutions, but without systematic implementation.</w:t>
      </w:r>
    </w:p>
    <w:p w14:paraId="781AA7F7" w14:textId="0E30A263" w:rsidR="00A7567F" w:rsidRPr="009571FD" w:rsidRDefault="00A7567F" w:rsidP="00DC5830">
      <w:pPr>
        <w:spacing w:after="0"/>
        <w:jc w:val="both"/>
        <w:rPr>
          <w:i/>
          <w:sz w:val="22"/>
          <w:szCs w:val="22"/>
        </w:rPr>
      </w:pPr>
      <w:r w:rsidRPr="009571FD">
        <w:rPr>
          <w:i/>
          <w:sz w:val="22"/>
          <w:szCs w:val="22"/>
        </w:rPr>
        <w:t xml:space="preserve">2 – </w:t>
      </w:r>
      <w:r w:rsidR="009429D9" w:rsidRPr="009571FD">
        <w:rPr>
          <w:i/>
          <w:sz w:val="22"/>
          <w:szCs w:val="22"/>
        </w:rPr>
        <w:t xml:space="preserve">Digital health solutions are </w:t>
      </w:r>
      <w:r w:rsidR="00BB5ACF" w:rsidRPr="009571FD">
        <w:rPr>
          <w:i/>
          <w:sz w:val="22"/>
          <w:szCs w:val="22"/>
        </w:rPr>
        <w:t>used in certain projects on an experimental basis.</w:t>
      </w:r>
    </w:p>
    <w:p w14:paraId="31AA97C8" w14:textId="3BFF71DD" w:rsidR="00A7567F" w:rsidRPr="009571FD" w:rsidRDefault="00A7567F" w:rsidP="00DC5830">
      <w:pPr>
        <w:spacing w:after="0"/>
        <w:jc w:val="both"/>
        <w:rPr>
          <w:i/>
          <w:sz w:val="22"/>
          <w:szCs w:val="22"/>
        </w:rPr>
      </w:pPr>
      <w:r w:rsidRPr="009571FD">
        <w:rPr>
          <w:i/>
          <w:sz w:val="22"/>
          <w:szCs w:val="22"/>
        </w:rPr>
        <w:t xml:space="preserve">3 – </w:t>
      </w:r>
      <w:r w:rsidR="00BB5ACF" w:rsidRPr="009571FD">
        <w:rPr>
          <w:i/>
          <w:sz w:val="22"/>
          <w:szCs w:val="22"/>
        </w:rPr>
        <w:t>Digital health solutions are integrated at a certain</w:t>
      </w:r>
      <w:r w:rsidRPr="009571FD">
        <w:rPr>
          <w:i/>
          <w:sz w:val="22"/>
          <w:szCs w:val="22"/>
        </w:rPr>
        <w:t xml:space="preserve"> level</w:t>
      </w:r>
      <w:r w:rsidR="00BB5ACF" w:rsidRPr="009571FD">
        <w:rPr>
          <w:i/>
          <w:sz w:val="22"/>
          <w:szCs w:val="22"/>
        </w:rPr>
        <w:t>, but only in a fragmented way.</w:t>
      </w:r>
    </w:p>
    <w:p w14:paraId="788DA09B" w14:textId="731ACC36" w:rsidR="00A7567F" w:rsidRPr="009571FD" w:rsidRDefault="00A7567F" w:rsidP="00DC5830">
      <w:pPr>
        <w:spacing w:after="0"/>
        <w:jc w:val="both"/>
        <w:rPr>
          <w:i/>
          <w:sz w:val="22"/>
          <w:szCs w:val="22"/>
        </w:rPr>
      </w:pPr>
      <w:r w:rsidRPr="009571FD">
        <w:rPr>
          <w:i/>
          <w:sz w:val="22"/>
          <w:szCs w:val="22"/>
        </w:rPr>
        <w:t>4 – Improved</w:t>
      </w:r>
      <w:r w:rsidR="00BB5ACF" w:rsidRPr="009571FD">
        <w:rPr>
          <w:i/>
          <w:sz w:val="22"/>
          <w:szCs w:val="22"/>
        </w:rPr>
        <w:t>, but not system-level of</w:t>
      </w:r>
      <w:r w:rsidRPr="009571FD">
        <w:rPr>
          <w:i/>
          <w:sz w:val="22"/>
          <w:szCs w:val="22"/>
        </w:rPr>
        <w:t xml:space="preserve"> </w:t>
      </w:r>
      <w:r w:rsidR="00BB5ACF" w:rsidRPr="009571FD">
        <w:rPr>
          <w:i/>
          <w:sz w:val="22"/>
          <w:szCs w:val="22"/>
        </w:rPr>
        <w:t>integrated digital health solutions</w:t>
      </w:r>
      <w:r w:rsidRPr="009571FD">
        <w:rPr>
          <w:i/>
          <w:sz w:val="22"/>
          <w:szCs w:val="22"/>
        </w:rPr>
        <w:t xml:space="preserve"> </w:t>
      </w:r>
      <w:r w:rsidR="00BB5ACF" w:rsidRPr="009571FD">
        <w:rPr>
          <w:i/>
          <w:sz w:val="22"/>
          <w:szCs w:val="22"/>
        </w:rPr>
        <w:t>are</w:t>
      </w:r>
      <w:r w:rsidRPr="009571FD">
        <w:rPr>
          <w:i/>
          <w:sz w:val="22"/>
          <w:szCs w:val="22"/>
        </w:rPr>
        <w:t xml:space="preserve"> introduced</w:t>
      </w:r>
      <w:r w:rsidR="00BB5ACF" w:rsidRPr="009571FD">
        <w:rPr>
          <w:i/>
          <w:sz w:val="22"/>
          <w:szCs w:val="22"/>
        </w:rPr>
        <w:t>.</w:t>
      </w:r>
    </w:p>
    <w:p w14:paraId="05636E62" w14:textId="5075EC41" w:rsidR="00A7567F" w:rsidRPr="009571FD" w:rsidRDefault="00A7567F" w:rsidP="009571FD">
      <w:pPr>
        <w:spacing w:after="240" w:line="240" w:lineRule="auto"/>
        <w:jc w:val="both"/>
        <w:rPr>
          <w:i/>
          <w:sz w:val="22"/>
          <w:szCs w:val="22"/>
        </w:rPr>
      </w:pPr>
      <w:r w:rsidRPr="009571FD">
        <w:rPr>
          <w:i/>
          <w:sz w:val="22"/>
          <w:szCs w:val="22"/>
        </w:rPr>
        <w:t xml:space="preserve">5 – Fully integrated </w:t>
      </w:r>
      <w:r w:rsidR="009429D9" w:rsidRPr="009571FD">
        <w:rPr>
          <w:i/>
          <w:sz w:val="22"/>
          <w:szCs w:val="22"/>
        </w:rPr>
        <w:t xml:space="preserve">digital health solutions are in place and functional, which </w:t>
      </w:r>
      <w:r w:rsidR="00BB5ACF" w:rsidRPr="009571FD">
        <w:rPr>
          <w:i/>
          <w:sz w:val="22"/>
          <w:szCs w:val="22"/>
        </w:rPr>
        <w:t>enable</w:t>
      </w:r>
      <w:r w:rsidR="009429D9" w:rsidRPr="009571FD">
        <w:rPr>
          <w:i/>
          <w:sz w:val="22"/>
          <w:szCs w:val="22"/>
        </w:rPr>
        <w:t xml:space="preserve"> a complete set of seamless </w:t>
      </w:r>
      <w:r w:rsidR="00BB5ACF" w:rsidRPr="009571FD">
        <w:rPr>
          <w:i/>
          <w:sz w:val="22"/>
          <w:szCs w:val="22"/>
        </w:rPr>
        <w:t>services.</w:t>
      </w:r>
      <w:r w:rsidR="009429D9" w:rsidRPr="009571FD">
        <w:rPr>
          <w:i/>
          <w:sz w:val="22"/>
          <w:szCs w:val="22"/>
        </w:rPr>
        <w:t xml:space="preserve"> </w:t>
      </w:r>
    </w:p>
    <w:p w14:paraId="000000B8" w14:textId="2FCDB2AC" w:rsidR="00CF2104" w:rsidRDefault="000376DA" w:rsidP="004926E0">
      <w:pPr>
        <w:pStyle w:val="Cmsor3"/>
        <w:jc w:val="both"/>
      </w:pPr>
      <w:bookmarkStart w:id="20" w:name="_Toc167702779"/>
      <w:r>
        <w:t>3.2.12</w:t>
      </w:r>
      <w:r w:rsidR="00CB5E95">
        <w:t>. Removal of Inhibitors</w:t>
      </w:r>
      <w:bookmarkEnd w:id="20"/>
    </w:p>
    <w:p w14:paraId="000000B9" w14:textId="77777777" w:rsidR="00CF2104" w:rsidRDefault="00CB5E95">
      <w:pPr>
        <w:jc w:val="both"/>
        <w:rPr>
          <w:b/>
        </w:rPr>
      </w:pPr>
      <w:r>
        <w:rPr>
          <w:b/>
        </w:rPr>
        <w:t>Objectives</w:t>
      </w:r>
    </w:p>
    <w:p w14:paraId="000000BA" w14:textId="0BCD3EB1" w:rsidR="00CF2104" w:rsidRDefault="00CB5E95">
      <w:pPr>
        <w:jc w:val="both"/>
      </w:pPr>
      <w:r>
        <w:t>Even with political suppo</w:t>
      </w:r>
      <w:r w:rsidR="00AB3E32">
        <w:t>rt, funded programmes and good</w:t>
      </w:r>
      <w:r>
        <w:t xml:space="preserve"> infrastructure, many factors can still make </w:t>
      </w:r>
      <w:r w:rsidR="00AB3E32">
        <w:t>digital health solutions</w:t>
      </w:r>
      <w:r>
        <w:t xml:space="preserve"> difficult to </w:t>
      </w:r>
      <w:r w:rsidR="00AB3E32">
        <w:t>provide</w:t>
      </w:r>
      <w:r>
        <w:t xml:space="preserve">, by delaying change or limiting how far change can go. These include legal issues with data governance, resistance to change from individuals or professional bodies, cultural barriers to the use of technology, perverse financial incentives, and lack of skills. These factors need to be </w:t>
      </w:r>
      <w:r>
        <w:lastRenderedPageBreak/>
        <w:t xml:space="preserve">recognised early, and a plan </w:t>
      </w:r>
      <w:r w:rsidR="003636DA">
        <w:t xml:space="preserve">has to be </w:t>
      </w:r>
      <w:r>
        <w:t>developed to deal with them, so as to minimise their impact.</w:t>
      </w:r>
    </w:p>
    <w:p w14:paraId="000000BB" w14:textId="6F86E247" w:rsidR="00CF2104" w:rsidRDefault="00CB5E95">
      <w:pPr>
        <w:numPr>
          <w:ilvl w:val="0"/>
          <w:numId w:val="5"/>
        </w:numPr>
        <w:pBdr>
          <w:top w:val="nil"/>
          <w:left w:val="nil"/>
          <w:bottom w:val="nil"/>
          <w:right w:val="nil"/>
          <w:between w:val="nil"/>
        </w:pBdr>
        <w:spacing w:after="0"/>
        <w:jc w:val="both"/>
        <w:rPr>
          <w:color w:val="000000"/>
        </w:rPr>
      </w:pPr>
      <w:r>
        <w:rPr>
          <w:color w:val="000000"/>
        </w:rPr>
        <w:t>Actions to remove barriers: legal, organisational, financial, skills</w:t>
      </w:r>
      <w:r w:rsidR="003636DA">
        <w:rPr>
          <w:color w:val="000000"/>
        </w:rPr>
        <w:t>-related,</w:t>
      </w:r>
      <w:r>
        <w:rPr>
          <w:color w:val="000000"/>
        </w:rPr>
        <w:t xml:space="preserve"> </w:t>
      </w:r>
      <w:r w:rsidR="003636DA">
        <w:rPr>
          <w:color w:val="000000"/>
        </w:rPr>
        <w:t xml:space="preserve">(while </w:t>
      </w:r>
      <w:r>
        <w:rPr>
          <w:color w:val="000000"/>
        </w:rPr>
        <w:t>considering the need to address the risk of health inequalities</w:t>
      </w:r>
      <w:r w:rsidR="003636DA">
        <w:rPr>
          <w:color w:val="000000"/>
        </w:rPr>
        <w:t>)</w:t>
      </w:r>
      <w:r>
        <w:rPr>
          <w:color w:val="000000"/>
        </w:rPr>
        <w:t>.</w:t>
      </w:r>
    </w:p>
    <w:p w14:paraId="000000BC" w14:textId="210B688B" w:rsidR="00CF2104" w:rsidRDefault="00CB5E95">
      <w:pPr>
        <w:numPr>
          <w:ilvl w:val="0"/>
          <w:numId w:val="5"/>
        </w:numPr>
        <w:pBdr>
          <w:top w:val="nil"/>
          <w:left w:val="nil"/>
          <w:bottom w:val="nil"/>
          <w:right w:val="nil"/>
          <w:between w:val="nil"/>
        </w:pBdr>
        <w:spacing w:after="0"/>
        <w:jc w:val="both"/>
        <w:rPr>
          <w:color w:val="000000"/>
        </w:rPr>
      </w:pPr>
      <w:r>
        <w:rPr>
          <w:color w:val="000000"/>
        </w:rPr>
        <w:t xml:space="preserve">Changes to the law concerning </w:t>
      </w:r>
      <w:r w:rsidR="00A43412">
        <w:rPr>
          <w:color w:val="000000"/>
        </w:rPr>
        <w:t>(</w:t>
      </w:r>
      <w:r>
        <w:rPr>
          <w:color w:val="000000"/>
        </w:rPr>
        <w:t xml:space="preserve">e.g. medical acts, information governance, data sharing </w:t>
      </w:r>
      <w:r w:rsidR="00A43412">
        <w:rPr>
          <w:color w:val="000000"/>
        </w:rPr>
        <w:t xml:space="preserve">or other </w:t>
      </w:r>
      <w:r>
        <w:rPr>
          <w:color w:val="000000"/>
        </w:rPr>
        <w:t>factors</w:t>
      </w:r>
      <w:r w:rsidR="00A43412">
        <w:rPr>
          <w:color w:val="000000"/>
        </w:rPr>
        <w:t>,</w:t>
      </w:r>
      <w:r>
        <w:rPr>
          <w:color w:val="000000"/>
        </w:rPr>
        <w:t xml:space="preserve"> which may hold up innovation</w:t>
      </w:r>
      <w:r w:rsidR="00A43412">
        <w:rPr>
          <w:color w:val="000000"/>
        </w:rPr>
        <w:t>)</w:t>
      </w:r>
      <w:r>
        <w:rPr>
          <w:color w:val="000000"/>
        </w:rPr>
        <w:t>.</w:t>
      </w:r>
    </w:p>
    <w:p w14:paraId="000000BD" w14:textId="77777777" w:rsidR="00CF2104" w:rsidRDefault="00CB5E95">
      <w:pPr>
        <w:numPr>
          <w:ilvl w:val="0"/>
          <w:numId w:val="5"/>
        </w:numPr>
        <w:pBdr>
          <w:top w:val="nil"/>
          <w:left w:val="nil"/>
          <w:bottom w:val="nil"/>
          <w:right w:val="nil"/>
          <w:between w:val="nil"/>
        </w:pBdr>
        <w:spacing w:after="0"/>
        <w:jc w:val="both"/>
        <w:rPr>
          <w:color w:val="000000"/>
        </w:rPr>
      </w:pPr>
      <w:r>
        <w:rPr>
          <w:color w:val="000000"/>
        </w:rPr>
        <w:t>Creation of new organisations or collaborations to encourage cross-boundary working (‘normative integration’).</w:t>
      </w:r>
    </w:p>
    <w:p w14:paraId="000000BE" w14:textId="77777777" w:rsidR="00CF2104" w:rsidRDefault="00CB5E95">
      <w:pPr>
        <w:numPr>
          <w:ilvl w:val="0"/>
          <w:numId w:val="5"/>
        </w:numPr>
        <w:pBdr>
          <w:top w:val="nil"/>
          <w:left w:val="nil"/>
          <w:bottom w:val="nil"/>
          <w:right w:val="nil"/>
          <w:between w:val="nil"/>
        </w:pBdr>
        <w:spacing w:after="0"/>
        <w:jc w:val="both"/>
        <w:rPr>
          <w:color w:val="000000"/>
        </w:rPr>
      </w:pPr>
      <w:r>
        <w:rPr>
          <w:color w:val="000000"/>
        </w:rPr>
        <w:t>Changes to reimbursement to support behavioural change and process change.</w:t>
      </w:r>
    </w:p>
    <w:p w14:paraId="000000BF" w14:textId="77777777" w:rsidR="00CF2104" w:rsidRDefault="00CB5E95">
      <w:pPr>
        <w:numPr>
          <w:ilvl w:val="0"/>
          <w:numId w:val="5"/>
        </w:numPr>
        <w:pBdr>
          <w:top w:val="nil"/>
          <w:left w:val="nil"/>
          <w:bottom w:val="nil"/>
          <w:right w:val="nil"/>
          <w:between w:val="nil"/>
        </w:pBdr>
        <w:jc w:val="both"/>
        <w:rPr>
          <w:color w:val="000000"/>
        </w:rPr>
      </w:pPr>
      <w:r>
        <w:rPr>
          <w:color w:val="000000"/>
        </w:rPr>
        <w:t>Education and training to increase understanding of innovations and technology enabled care solutions in order to speed up solution delivery.</w:t>
      </w:r>
    </w:p>
    <w:p w14:paraId="000000C0" w14:textId="77777777" w:rsidR="00CF2104" w:rsidRPr="009571FD" w:rsidRDefault="00CB5E95" w:rsidP="00DC5830">
      <w:pPr>
        <w:jc w:val="both"/>
        <w:rPr>
          <w:b/>
          <w:i/>
          <w:sz w:val="22"/>
          <w:szCs w:val="22"/>
          <w:u w:val="single"/>
        </w:rPr>
      </w:pPr>
      <w:r w:rsidRPr="009571FD">
        <w:rPr>
          <w:b/>
          <w:i/>
          <w:sz w:val="22"/>
          <w:szCs w:val="22"/>
          <w:u w:val="single"/>
        </w:rPr>
        <w:t>Assessment scale</w:t>
      </w:r>
    </w:p>
    <w:p w14:paraId="000000C1" w14:textId="6FEC245D" w:rsidR="00CF2104" w:rsidRPr="009571FD" w:rsidRDefault="00CB5E95" w:rsidP="00DC5830">
      <w:pPr>
        <w:spacing w:after="0"/>
        <w:jc w:val="both"/>
        <w:rPr>
          <w:i/>
          <w:sz w:val="22"/>
          <w:szCs w:val="22"/>
        </w:rPr>
      </w:pPr>
      <w:r w:rsidRPr="009571FD">
        <w:rPr>
          <w:i/>
          <w:sz w:val="22"/>
          <w:szCs w:val="22"/>
        </w:rPr>
        <w:t xml:space="preserve">0 – No awareness of the effects of inhibitors on </w:t>
      </w:r>
      <w:r w:rsidR="00AB3E32" w:rsidRPr="009571FD">
        <w:rPr>
          <w:i/>
          <w:sz w:val="22"/>
          <w:szCs w:val="22"/>
        </w:rPr>
        <w:t>digital health.</w:t>
      </w:r>
    </w:p>
    <w:p w14:paraId="000000C2" w14:textId="08FF492F" w:rsidR="00CF2104" w:rsidRPr="009571FD" w:rsidRDefault="00CB5E95" w:rsidP="00DC5830">
      <w:pPr>
        <w:spacing w:after="0"/>
        <w:jc w:val="both"/>
        <w:rPr>
          <w:i/>
          <w:sz w:val="22"/>
          <w:szCs w:val="22"/>
        </w:rPr>
      </w:pPr>
      <w:r w:rsidRPr="009571FD">
        <w:rPr>
          <w:i/>
          <w:sz w:val="22"/>
          <w:szCs w:val="22"/>
        </w:rPr>
        <w:t>1 – Awareness of inhibitors but no systematic approach to their management is in place</w:t>
      </w:r>
      <w:r w:rsidR="00AB3E32" w:rsidRPr="009571FD">
        <w:rPr>
          <w:i/>
          <w:sz w:val="22"/>
          <w:szCs w:val="22"/>
        </w:rPr>
        <w:t>.</w:t>
      </w:r>
    </w:p>
    <w:p w14:paraId="000000C3" w14:textId="5E2D3C82" w:rsidR="00CF2104" w:rsidRPr="009571FD" w:rsidRDefault="00CB5E95" w:rsidP="00DC5830">
      <w:pPr>
        <w:spacing w:after="0"/>
        <w:jc w:val="both"/>
        <w:rPr>
          <w:i/>
          <w:sz w:val="22"/>
          <w:szCs w:val="22"/>
        </w:rPr>
      </w:pPr>
      <w:r w:rsidRPr="009571FD">
        <w:rPr>
          <w:i/>
          <w:sz w:val="22"/>
          <w:szCs w:val="22"/>
        </w:rPr>
        <w:t>2 – Strategy for removing inhibitors agreed at a high level</w:t>
      </w:r>
      <w:r w:rsidR="00AB3E32" w:rsidRPr="009571FD">
        <w:rPr>
          <w:i/>
          <w:sz w:val="22"/>
          <w:szCs w:val="22"/>
        </w:rPr>
        <w:t>.</w:t>
      </w:r>
    </w:p>
    <w:p w14:paraId="000000C4" w14:textId="3BFCC3ED" w:rsidR="00CF2104" w:rsidRPr="009571FD" w:rsidRDefault="00AB3E32" w:rsidP="00DC5830">
      <w:pPr>
        <w:spacing w:after="0"/>
        <w:jc w:val="both"/>
        <w:rPr>
          <w:i/>
          <w:sz w:val="22"/>
          <w:szCs w:val="22"/>
        </w:rPr>
      </w:pPr>
      <w:r w:rsidRPr="009571FD">
        <w:rPr>
          <w:i/>
          <w:sz w:val="22"/>
          <w:szCs w:val="22"/>
        </w:rPr>
        <w:t>3 – Implementation p</w:t>
      </w:r>
      <w:r w:rsidR="00CB5E95" w:rsidRPr="009571FD">
        <w:rPr>
          <w:i/>
          <w:sz w:val="22"/>
          <w:szCs w:val="22"/>
        </w:rPr>
        <w:t>lan and process for removing inhibitors have started being implemented locally</w:t>
      </w:r>
      <w:r w:rsidRPr="009571FD">
        <w:rPr>
          <w:i/>
          <w:sz w:val="22"/>
          <w:szCs w:val="22"/>
        </w:rPr>
        <w:t>.</w:t>
      </w:r>
    </w:p>
    <w:p w14:paraId="000000C5" w14:textId="2DDB6F83" w:rsidR="00CF2104" w:rsidRPr="009571FD" w:rsidRDefault="00CB5E95" w:rsidP="00DC5830">
      <w:pPr>
        <w:spacing w:after="0"/>
        <w:jc w:val="both"/>
        <w:rPr>
          <w:i/>
          <w:sz w:val="22"/>
          <w:szCs w:val="22"/>
        </w:rPr>
      </w:pPr>
      <w:r w:rsidRPr="009571FD">
        <w:rPr>
          <w:i/>
          <w:sz w:val="22"/>
          <w:szCs w:val="22"/>
        </w:rPr>
        <w:t>4 – Solutions for removal of inhibitors developed and commonly used</w:t>
      </w:r>
      <w:r w:rsidR="00AB3E32" w:rsidRPr="009571FD">
        <w:rPr>
          <w:i/>
          <w:sz w:val="22"/>
          <w:szCs w:val="22"/>
        </w:rPr>
        <w:t>.</w:t>
      </w:r>
    </w:p>
    <w:p w14:paraId="27FE18EE" w14:textId="40DDAD62" w:rsidR="00DC5830" w:rsidRPr="009571FD" w:rsidRDefault="00CB5E95" w:rsidP="00DC5830">
      <w:pPr>
        <w:jc w:val="both"/>
        <w:rPr>
          <w:i/>
          <w:sz w:val="22"/>
          <w:szCs w:val="22"/>
        </w:rPr>
      </w:pPr>
      <w:r w:rsidRPr="009571FD">
        <w:rPr>
          <w:i/>
          <w:sz w:val="22"/>
          <w:szCs w:val="22"/>
        </w:rPr>
        <w:t>5 – Hi</w:t>
      </w:r>
      <w:r w:rsidR="00AB3E32" w:rsidRPr="009571FD">
        <w:rPr>
          <w:i/>
          <w:sz w:val="22"/>
          <w:szCs w:val="22"/>
        </w:rPr>
        <w:t>gh completion rate of projects and</w:t>
      </w:r>
      <w:r w:rsidRPr="009571FD">
        <w:rPr>
          <w:i/>
          <w:sz w:val="22"/>
          <w:szCs w:val="22"/>
        </w:rPr>
        <w:t xml:space="preserve"> programmes; inhibitors no longer an issue for service development.</w:t>
      </w:r>
    </w:p>
    <w:p w14:paraId="00000117" w14:textId="77777777" w:rsidR="00CF2104" w:rsidRDefault="00CB5E95" w:rsidP="005B7A3E">
      <w:pPr>
        <w:pStyle w:val="Cmsor2"/>
        <w:numPr>
          <w:ilvl w:val="1"/>
          <w:numId w:val="4"/>
        </w:numPr>
        <w:jc w:val="both"/>
      </w:pPr>
      <w:bookmarkStart w:id="21" w:name="_Toc167702780"/>
      <w:r>
        <w:t>Connecting the Local Partner Analysis to Pilot Projects</w:t>
      </w:r>
      <w:bookmarkEnd w:id="21"/>
    </w:p>
    <w:p w14:paraId="00000118" w14:textId="7D792127" w:rsidR="00CF2104" w:rsidRDefault="005B7A3E" w:rsidP="005B7A3E">
      <w:pPr>
        <w:pStyle w:val="Cmsor3"/>
        <w:jc w:val="both"/>
      </w:pPr>
      <w:bookmarkStart w:id="22" w:name="_Toc167702781"/>
      <w:r>
        <w:t>3</w:t>
      </w:r>
      <w:r w:rsidR="00CB5E95">
        <w:t>.3.1 Summary Table on Strengths</w:t>
      </w:r>
      <w:r w:rsidR="00BA5B79">
        <w:t xml:space="preserve"> (good practices) </w:t>
      </w:r>
      <w:r w:rsidR="00CB5E95">
        <w:t>and Perspectives for Improvement</w:t>
      </w:r>
      <w:r w:rsidR="00BA5B79">
        <w:t xml:space="preserve"> (barriers)</w:t>
      </w:r>
      <w:bookmarkEnd w:id="22"/>
    </w:p>
    <w:p w14:paraId="00000119" w14:textId="67DFD1B3" w:rsidR="00CF2104" w:rsidRDefault="00CB5E95">
      <w:pPr>
        <w:jc w:val="both"/>
      </w:pPr>
      <w:r>
        <w:t xml:space="preserve">Following the consideration of each component of the </w:t>
      </w:r>
      <w:r w:rsidR="00BA5B79">
        <w:t>questionnaire</w:t>
      </w:r>
      <w:r>
        <w:t xml:space="preserve"> with regards to digital health solutions, project partners should link the assembled information to their project activities in Digi4Care. To do this, first, project partners are asked to highlight one s</w:t>
      </w:r>
      <w:r w:rsidR="00BA5B79">
        <w:t>trength (good practice), and one</w:t>
      </w:r>
      <w:r>
        <w:t xml:space="preserve"> perspective for improvement</w:t>
      </w:r>
      <w:r w:rsidR="00BA5B79">
        <w:t xml:space="preserve"> (barrier)</w:t>
      </w:r>
      <w:r>
        <w:t xml:space="preserve"> with respect to each component. Partners should use the table presented in Part III.1 </w:t>
      </w:r>
      <w:r w:rsidR="00881784">
        <w:rPr>
          <w:i/>
        </w:rPr>
        <w:t>[</w:t>
      </w:r>
      <w:r w:rsidR="00BA5B79">
        <w:rPr>
          <w:i/>
        </w:rPr>
        <w:t xml:space="preserve">Summary Table on Strengths (good practices) </w:t>
      </w:r>
      <w:r>
        <w:rPr>
          <w:i/>
        </w:rPr>
        <w:t>and Perspectives for Improvement</w:t>
      </w:r>
      <w:r w:rsidR="00BA5B79">
        <w:rPr>
          <w:i/>
        </w:rPr>
        <w:t xml:space="preserve"> (barriers</w:t>
      </w:r>
      <w:r>
        <w:rPr>
          <w:i/>
        </w:rPr>
        <w:t>)</w:t>
      </w:r>
      <w:r w:rsidR="00881784">
        <w:rPr>
          <w:i/>
        </w:rPr>
        <w:t>]</w:t>
      </w:r>
      <w:r>
        <w:t xml:space="preserve"> of the questionnaire.</w:t>
      </w:r>
    </w:p>
    <w:p w14:paraId="0000011A" w14:textId="680436F3" w:rsidR="00CF2104" w:rsidRDefault="00CB5E95">
      <w:pPr>
        <w:jc w:val="both"/>
      </w:pPr>
      <w:r>
        <w:t xml:space="preserve">Please note that partners are not expected to add new information in this table. In fact, the guiding questions for each component in Part II </w:t>
      </w:r>
      <w:r>
        <w:rPr>
          <w:i/>
        </w:rPr>
        <w:t>(Analysis of the country/regional context)</w:t>
      </w:r>
      <w:r>
        <w:t xml:space="preserve"> serve as prompts to elicit ideas about relevant strengths (good practices) and perspectives of improvement</w:t>
      </w:r>
      <w:r w:rsidR="00BA5B79">
        <w:t xml:space="preserve"> (barriers)</w:t>
      </w:r>
      <w:r>
        <w:t xml:space="preserve">. Thus, partners should fill the table in III.1 by extracting the information they deem most relevant for the </w:t>
      </w:r>
      <w:r w:rsidR="00881784">
        <w:t xml:space="preserve">two </w:t>
      </w:r>
      <w:r>
        <w:t xml:space="preserve">areas regarding each component of the </w:t>
      </w:r>
      <w:r w:rsidR="00BA5B79">
        <w:t>questionnaire</w:t>
      </w:r>
      <w:r>
        <w:t xml:space="preserve">.  </w:t>
      </w:r>
    </w:p>
    <w:p w14:paraId="0000011B" w14:textId="78FD988E" w:rsidR="00CF2104" w:rsidRDefault="00CB5E95">
      <w:pPr>
        <w:jc w:val="both"/>
      </w:pPr>
      <w:r>
        <w:t xml:space="preserve">While it is not expected that project partners have a strongly informed answer for each question raised among the guiding questions of Part II, they should make sure to complete this table. As laid out in Section 1 above, according to the Digi4Care project </w:t>
      </w:r>
      <w:r>
        <w:lastRenderedPageBreak/>
        <w:t xml:space="preserve">architecture, the local partner analysis should inform the pilot project activities of partners, by revealing those strengths </w:t>
      </w:r>
      <w:r w:rsidR="00BA5B79">
        <w:t xml:space="preserve">(good practices) and perspectives of improvement (barriers) </w:t>
      </w:r>
      <w:r>
        <w:t>that may be actionable in the framework of pilots carried out through transnational collaboration. Ma</w:t>
      </w:r>
      <w:r w:rsidR="00BA5B79">
        <w:t xml:space="preserve">king explicit a list </w:t>
      </w:r>
      <w:r>
        <w:t xml:space="preserve">by using </w:t>
      </w:r>
      <w:r w:rsidR="00881784">
        <w:t>Table</w:t>
      </w:r>
      <w:r>
        <w:t xml:space="preserve"> III.1 may help in establishing these connections.</w:t>
      </w:r>
    </w:p>
    <w:p w14:paraId="0000011C" w14:textId="0CAD267F" w:rsidR="00CF2104" w:rsidRDefault="005B7A3E">
      <w:pPr>
        <w:pStyle w:val="Cmsor3"/>
      </w:pPr>
      <w:bookmarkStart w:id="23" w:name="_Toc167702782"/>
      <w:r>
        <w:t>3</w:t>
      </w:r>
      <w:r w:rsidR="00CB5E95">
        <w:t>.3.2. Bu</w:t>
      </w:r>
      <w:r w:rsidR="00BA5B79">
        <w:t xml:space="preserve">ilding on Identified Strengths </w:t>
      </w:r>
      <w:r w:rsidR="00BA5B79" w:rsidRPr="00BA5B79">
        <w:t>(good practices) and Perspectives for Improvement (barriers)</w:t>
      </w:r>
      <w:bookmarkEnd w:id="23"/>
    </w:p>
    <w:p w14:paraId="0000011D" w14:textId="77777777" w:rsidR="00CF2104" w:rsidRDefault="00CB5E95">
      <w:pPr>
        <w:jc w:val="both"/>
      </w:pPr>
      <w:r>
        <w:t xml:space="preserve">To further guide the establishment of these connections between the findings of the local partner analyses and the planned project activities, partners are then asked to complete Table III.2. </w:t>
      </w:r>
    </w:p>
    <w:p w14:paraId="0000011E" w14:textId="77777777" w:rsidR="00CF2104" w:rsidRDefault="00CB5E95">
      <w:pPr>
        <w:numPr>
          <w:ilvl w:val="0"/>
          <w:numId w:val="6"/>
        </w:numPr>
        <w:pBdr>
          <w:top w:val="nil"/>
          <w:left w:val="nil"/>
          <w:bottom w:val="nil"/>
          <w:right w:val="nil"/>
          <w:between w:val="nil"/>
        </w:pBdr>
        <w:spacing w:after="0"/>
        <w:jc w:val="both"/>
        <w:rPr>
          <w:color w:val="000000"/>
        </w:rPr>
      </w:pPr>
      <w:r>
        <w:rPr>
          <w:color w:val="000000"/>
        </w:rPr>
        <w:t xml:space="preserve">In the first column of the table </w:t>
      </w:r>
      <w:r>
        <w:rPr>
          <w:i/>
          <w:color w:val="000000"/>
        </w:rPr>
        <w:t>(Project partner from the country/region)</w:t>
      </w:r>
      <w:r>
        <w:rPr>
          <w:color w:val="000000"/>
        </w:rPr>
        <w:t>, project partners should list all partners from the given country that participate in pilot implementation in Digi4Care. If a partner is involved in more than one pilot project, they should be listed the corresponding number of times.</w:t>
      </w:r>
    </w:p>
    <w:p w14:paraId="0000011F" w14:textId="2151A82F" w:rsidR="00CF2104" w:rsidRDefault="00CB5E95">
      <w:pPr>
        <w:numPr>
          <w:ilvl w:val="0"/>
          <w:numId w:val="6"/>
        </w:numPr>
        <w:pBdr>
          <w:top w:val="nil"/>
          <w:left w:val="nil"/>
          <w:bottom w:val="nil"/>
          <w:right w:val="nil"/>
          <w:between w:val="nil"/>
        </w:pBdr>
        <w:spacing w:after="0"/>
        <w:jc w:val="both"/>
        <w:rPr>
          <w:color w:val="000000"/>
        </w:rPr>
      </w:pPr>
      <w:r>
        <w:rPr>
          <w:color w:val="000000"/>
        </w:rPr>
        <w:t xml:space="preserve">In the second column of the table </w:t>
      </w:r>
      <w:r>
        <w:rPr>
          <w:i/>
          <w:color w:val="000000"/>
        </w:rPr>
        <w:t>(Pilot project the partner is involved in)</w:t>
      </w:r>
      <w:r>
        <w:rPr>
          <w:color w:val="000000"/>
        </w:rPr>
        <w:t>, indicate the pilot that the given partner is involved in (</w:t>
      </w:r>
      <w:r>
        <w:rPr>
          <w:i/>
          <w:color w:val="000000"/>
        </w:rPr>
        <w:t>Pilot 1/Pilot 2/Pilot 3/Pilot 4</w:t>
      </w:r>
      <w:r>
        <w:rPr>
          <w:color w:val="000000"/>
        </w:rPr>
        <w:t xml:space="preserve">). For partners that are involved in more than one pilot, indicate </w:t>
      </w:r>
      <w:r w:rsidR="00881784">
        <w:rPr>
          <w:color w:val="000000"/>
        </w:rPr>
        <w:t>each</w:t>
      </w:r>
      <w:r>
        <w:rPr>
          <w:color w:val="000000"/>
        </w:rPr>
        <w:t xml:space="preserve"> pilot in </w:t>
      </w:r>
      <w:r w:rsidR="00881784">
        <w:rPr>
          <w:color w:val="000000"/>
        </w:rPr>
        <w:t xml:space="preserve">a </w:t>
      </w:r>
      <w:r>
        <w:rPr>
          <w:color w:val="000000"/>
        </w:rPr>
        <w:t>different row</w:t>
      </w:r>
      <w:r w:rsidR="00881784">
        <w:rPr>
          <w:color w:val="000000"/>
        </w:rPr>
        <w:t xml:space="preserve"> where the partner is listed</w:t>
      </w:r>
      <w:r>
        <w:rPr>
          <w:color w:val="000000"/>
        </w:rPr>
        <w:t>.</w:t>
      </w:r>
    </w:p>
    <w:p w14:paraId="00000120" w14:textId="77777777" w:rsidR="00CF2104" w:rsidRDefault="00CB5E95">
      <w:pPr>
        <w:numPr>
          <w:ilvl w:val="0"/>
          <w:numId w:val="6"/>
        </w:numPr>
        <w:pBdr>
          <w:top w:val="nil"/>
          <w:left w:val="nil"/>
          <w:bottom w:val="nil"/>
          <w:right w:val="nil"/>
          <w:between w:val="nil"/>
        </w:pBdr>
        <w:spacing w:after="0"/>
        <w:jc w:val="both"/>
        <w:rPr>
          <w:color w:val="000000"/>
        </w:rPr>
      </w:pPr>
      <w:r>
        <w:rPr>
          <w:color w:val="000000"/>
        </w:rPr>
        <w:t xml:space="preserve">In the third column of the table </w:t>
      </w:r>
      <w:r>
        <w:rPr>
          <w:i/>
          <w:color w:val="000000"/>
        </w:rPr>
        <w:t>(Role of the partner in the pilot</w:t>
      </w:r>
      <w:r>
        <w:rPr>
          <w:color w:val="000000"/>
        </w:rPr>
        <w:t xml:space="preserve">), indicate the nature of the involvement of the partner in the given pilot </w:t>
      </w:r>
      <w:r>
        <w:rPr>
          <w:i/>
          <w:color w:val="000000"/>
        </w:rPr>
        <w:t>(provision of innovation, reception of innovation)</w:t>
      </w:r>
      <w:r>
        <w:rPr>
          <w:color w:val="000000"/>
        </w:rPr>
        <w:t xml:space="preserve">. </w:t>
      </w:r>
    </w:p>
    <w:p w14:paraId="00000121" w14:textId="3CCE7AB1" w:rsidR="00CF2104" w:rsidRDefault="00CB5E95">
      <w:pPr>
        <w:numPr>
          <w:ilvl w:val="0"/>
          <w:numId w:val="6"/>
        </w:numPr>
        <w:pBdr>
          <w:top w:val="nil"/>
          <w:left w:val="nil"/>
          <w:bottom w:val="nil"/>
          <w:right w:val="nil"/>
          <w:between w:val="nil"/>
        </w:pBdr>
        <w:jc w:val="both"/>
        <w:rPr>
          <w:color w:val="000000"/>
        </w:rPr>
      </w:pPr>
      <w:r>
        <w:rPr>
          <w:color w:val="000000"/>
        </w:rPr>
        <w:t xml:space="preserve">In the fourth column of the table </w:t>
      </w:r>
      <w:r>
        <w:rPr>
          <w:i/>
          <w:color w:val="000000"/>
        </w:rPr>
        <w:t>(Relevant strength leveraged/perspective for improvement addressed through the involvement)</w:t>
      </w:r>
      <w:r>
        <w:rPr>
          <w:color w:val="000000"/>
        </w:rPr>
        <w:t>, indic</w:t>
      </w:r>
      <w:r w:rsidR="00BA5B79">
        <w:rPr>
          <w:color w:val="000000"/>
        </w:rPr>
        <w:t xml:space="preserve">ate a strength (good practice) </w:t>
      </w:r>
      <w:r>
        <w:rPr>
          <w:color w:val="000000"/>
        </w:rPr>
        <w:t>or perspective for improvement</w:t>
      </w:r>
      <w:r w:rsidR="00BA5B79">
        <w:rPr>
          <w:color w:val="000000"/>
        </w:rPr>
        <w:t xml:space="preserve"> (barriers)</w:t>
      </w:r>
      <w:r>
        <w:rPr>
          <w:color w:val="000000"/>
        </w:rPr>
        <w:t xml:space="preserve"> from Table III.1 that is addressed, or is in some way linked to the partner’s involvement in the given pilot project (e.g. if a partner offers an innovative device to be implemented in the environment of another partner, the first may leverage a strength or good practice listed in Table III.1, while the latter may address a </w:t>
      </w:r>
      <w:r w:rsidR="00BA5B79">
        <w:rPr>
          <w:color w:val="000000"/>
        </w:rPr>
        <w:t>barrier</w:t>
      </w:r>
      <w:r>
        <w:rPr>
          <w:color w:val="000000"/>
        </w:rPr>
        <w:t>).</w:t>
      </w:r>
    </w:p>
    <w:p w14:paraId="00000122" w14:textId="206B3BBC" w:rsidR="00CF2104" w:rsidRDefault="005B7A3E">
      <w:pPr>
        <w:pStyle w:val="Cmsor3"/>
      </w:pPr>
      <w:bookmarkStart w:id="24" w:name="_Toc167702783"/>
      <w:r>
        <w:t>3</w:t>
      </w:r>
      <w:r w:rsidR="00CB5E95">
        <w:t>.3.3. Visual summary of the local partner analyses</w:t>
      </w:r>
      <w:bookmarkEnd w:id="24"/>
    </w:p>
    <w:p w14:paraId="00000123" w14:textId="77777777" w:rsidR="00CF2104" w:rsidRDefault="00CB5E95">
      <w:pPr>
        <w:jc w:val="both"/>
      </w:pPr>
      <w:r>
        <w:t xml:space="preserve">As the final step of the local partner analyses, the SOTE_HU team is going to produce a visual summary for each of the eight analyses using a poster template designed for this purpose. Figure 4 shows an illustrative (preliminary) poster template. </w:t>
      </w:r>
    </w:p>
    <w:p w14:paraId="00000124" w14:textId="3F85E060" w:rsidR="00CF2104" w:rsidRDefault="00881784">
      <w:pPr>
        <w:numPr>
          <w:ilvl w:val="0"/>
          <w:numId w:val="8"/>
        </w:numPr>
        <w:pBdr>
          <w:top w:val="nil"/>
          <w:left w:val="nil"/>
          <w:bottom w:val="nil"/>
          <w:right w:val="nil"/>
          <w:between w:val="nil"/>
        </w:pBdr>
        <w:spacing w:after="0"/>
        <w:jc w:val="both"/>
        <w:rPr>
          <w:color w:val="000000"/>
        </w:rPr>
      </w:pPr>
      <w:r>
        <w:rPr>
          <w:color w:val="000000"/>
        </w:rPr>
        <w:t>To set the country/regional context, t</w:t>
      </w:r>
      <w:r w:rsidR="00CB5E95">
        <w:rPr>
          <w:color w:val="000000"/>
        </w:rPr>
        <w:t xml:space="preserve">he upper section of the poster establishes the country or region in which the analysis </w:t>
      </w:r>
      <w:r>
        <w:rPr>
          <w:color w:val="000000"/>
        </w:rPr>
        <w:t xml:space="preserve">was </w:t>
      </w:r>
      <w:r w:rsidR="00CB5E95">
        <w:rPr>
          <w:color w:val="000000"/>
        </w:rPr>
        <w:t xml:space="preserve">performed </w:t>
      </w:r>
      <w:r>
        <w:rPr>
          <w:color w:val="000000"/>
        </w:rPr>
        <w:t xml:space="preserve">and displays </w:t>
      </w:r>
      <w:r w:rsidR="00CB5E95">
        <w:rPr>
          <w:color w:val="000000"/>
        </w:rPr>
        <w:t xml:space="preserve">the project partners involved </w:t>
      </w:r>
      <w:r>
        <w:rPr>
          <w:color w:val="000000"/>
        </w:rPr>
        <w:t xml:space="preserve">as well as </w:t>
      </w:r>
      <w:r w:rsidR="00BA5B79">
        <w:rPr>
          <w:color w:val="000000"/>
        </w:rPr>
        <w:t xml:space="preserve">the demographic and socioeconomic </w:t>
      </w:r>
      <w:r w:rsidR="00CB5E95">
        <w:rPr>
          <w:color w:val="000000"/>
        </w:rPr>
        <w:t>indicators included in Part I of the questionnaire,.</w:t>
      </w:r>
    </w:p>
    <w:p w14:paraId="00000125" w14:textId="07019980" w:rsidR="00CF2104" w:rsidRDefault="00CB5E95">
      <w:pPr>
        <w:numPr>
          <w:ilvl w:val="0"/>
          <w:numId w:val="8"/>
        </w:numPr>
        <w:pBdr>
          <w:top w:val="nil"/>
          <w:left w:val="nil"/>
          <w:bottom w:val="nil"/>
          <w:right w:val="nil"/>
          <w:between w:val="nil"/>
        </w:pBdr>
        <w:spacing w:after="0"/>
        <w:jc w:val="both"/>
        <w:rPr>
          <w:color w:val="000000"/>
        </w:rPr>
      </w:pPr>
      <w:r>
        <w:rPr>
          <w:color w:val="000000"/>
        </w:rPr>
        <w:t>A spider diagram occupies the centre of the poster, displaying the maturity assessments</w:t>
      </w:r>
      <w:r w:rsidR="00881784">
        <w:rPr>
          <w:color w:val="000000"/>
        </w:rPr>
        <w:t xml:space="preserve"> (from 0 to 5)</w:t>
      </w:r>
      <w:r>
        <w:rPr>
          <w:color w:val="000000"/>
        </w:rPr>
        <w:t xml:space="preserve"> for each of the 12 dimensions, as determined by project partners relative to their respective countries or regions (in part II of the questionnaire).</w:t>
      </w:r>
    </w:p>
    <w:p w14:paraId="00000126" w14:textId="28789C2F" w:rsidR="00CF2104" w:rsidRDefault="00BA5B79">
      <w:pPr>
        <w:numPr>
          <w:ilvl w:val="0"/>
          <w:numId w:val="8"/>
        </w:numPr>
        <w:pBdr>
          <w:top w:val="nil"/>
          <w:left w:val="nil"/>
          <w:bottom w:val="nil"/>
          <w:right w:val="nil"/>
          <w:between w:val="nil"/>
        </w:pBdr>
        <w:jc w:val="both"/>
        <w:rPr>
          <w:color w:val="000000"/>
        </w:rPr>
      </w:pPr>
      <w:r>
        <w:rPr>
          <w:color w:val="000000"/>
        </w:rPr>
        <w:lastRenderedPageBreak/>
        <w:t xml:space="preserve">Finally, the strengths (good practices) </w:t>
      </w:r>
      <w:r w:rsidR="00CB5E95">
        <w:rPr>
          <w:color w:val="000000"/>
        </w:rPr>
        <w:t>and perspectives for improvement</w:t>
      </w:r>
      <w:r>
        <w:rPr>
          <w:color w:val="000000"/>
        </w:rPr>
        <w:t xml:space="preserve"> (barriers)</w:t>
      </w:r>
      <w:r w:rsidR="00CB5E95">
        <w:rPr>
          <w:color w:val="000000"/>
        </w:rPr>
        <w:t xml:space="preserve"> from table III.1 are listed on the poster. Elements linked to partners’ involvement in pilot projects (table III.2) would be highlighted.</w:t>
      </w:r>
    </w:p>
    <w:p w14:paraId="00000127" w14:textId="7158987F" w:rsidR="00CF2104" w:rsidRDefault="00CB5E95">
      <w:pPr>
        <w:jc w:val="both"/>
      </w:pPr>
      <w:r>
        <w:t>Upon reception of the completed questionnaires, these posters will be created</w:t>
      </w:r>
      <w:r w:rsidR="00BA5B79">
        <w:t xml:space="preserve"> based on the received information</w:t>
      </w:r>
      <w:r>
        <w:t xml:space="preserve"> by the SOTE_HU team. They </w:t>
      </w:r>
      <w:r w:rsidR="00881784">
        <w:t xml:space="preserve">are planned to </w:t>
      </w:r>
      <w:r>
        <w:t xml:space="preserve">be </w:t>
      </w:r>
      <w:r w:rsidR="003E55CB">
        <w:t xml:space="preserve">showcased </w:t>
      </w:r>
      <w:r>
        <w:t>at the Interregional Partner Meeting in September 2024 in Oradea, Romania</w:t>
      </w:r>
      <w:r w:rsidR="003E55CB">
        <w:t xml:space="preserve">, where </w:t>
      </w:r>
      <w:r w:rsidR="00B50911">
        <w:t>they intend to</w:t>
      </w:r>
      <w:r w:rsidR="003E55CB">
        <w:t xml:space="preserve"> support</w:t>
      </w:r>
      <w:r>
        <w:t xml:space="preserve"> the </w:t>
      </w:r>
      <w:r w:rsidR="00881784">
        <w:t xml:space="preserve">scheduled </w:t>
      </w:r>
      <w:r>
        <w:t>discussions</w:t>
      </w:r>
      <w:r w:rsidR="003E55CB">
        <w:t xml:space="preserve"> of partners</w:t>
      </w:r>
      <w:r>
        <w:t xml:space="preserve">.  </w:t>
      </w:r>
    </w:p>
    <w:p w14:paraId="74D41449" w14:textId="26D1B474" w:rsidR="00D70453" w:rsidRDefault="00881784" w:rsidP="00881784">
      <w:pPr>
        <w:keepNext/>
      </w:pPr>
      <w:r>
        <w:rPr>
          <w:noProof/>
          <w:lang w:val="hu-HU"/>
        </w:rPr>
        <mc:AlternateContent>
          <mc:Choice Requires="wps">
            <w:drawing>
              <wp:anchor distT="0" distB="0" distL="114300" distR="114300" simplePos="0" relativeHeight="251686912" behindDoc="0" locked="0" layoutInCell="1" allowOverlap="1" wp14:anchorId="5B83E660" wp14:editId="6FDF233C">
                <wp:simplePos x="0" y="0"/>
                <wp:positionH relativeFrom="column">
                  <wp:posOffset>1379855</wp:posOffset>
                </wp:positionH>
                <wp:positionV relativeFrom="paragraph">
                  <wp:posOffset>4741545</wp:posOffset>
                </wp:positionV>
                <wp:extent cx="3462020" cy="635"/>
                <wp:effectExtent l="0" t="0" r="0" b="0"/>
                <wp:wrapSquare wrapText="bothSides"/>
                <wp:docPr id="1910232045" name="Szövegdoboz 1"/>
                <wp:cNvGraphicFramePr/>
                <a:graphic xmlns:a="http://schemas.openxmlformats.org/drawingml/2006/main">
                  <a:graphicData uri="http://schemas.microsoft.com/office/word/2010/wordprocessingShape">
                    <wps:wsp>
                      <wps:cNvSpPr txBox="1"/>
                      <wps:spPr>
                        <a:xfrm>
                          <a:off x="0" y="0"/>
                          <a:ext cx="3462020" cy="635"/>
                        </a:xfrm>
                        <a:prstGeom prst="rect">
                          <a:avLst/>
                        </a:prstGeom>
                        <a:solidFill>
                          <a:prstClr val="white"/>
                        </a:solidFill>
                        <a:ln>
                          <a:noFill/>
                        </a:ln>
                      </wps:spPr>
                      <wps:txbx>
                        <w:txbxContent>
                          <w:p w14:paraId="06C67B29" w14:textId="37E324B2" w:rsidR="009571FD" w:rsidRPr="00486993" w:rsidRDefault="009571FD" w:rsidP="00881784">
                            <w:pPr>
                              <w:pStyle w:val="Kpalrs"/>
                              <w:rPr>
                                <w:noProof/>
                              </w:rPr>
                            </w:pPr>
                            <w:r w:rsidRPr="00881784">
                              <w:rPr>
                                <w:b/>
                                <w:bCs/>
                                <w:noProof/>
                              </w:rPr>
                              <w:t>Figure 4</w:t>
                            </w:r>
                            <w:r w:rsidRPr="00881784">
                              <w:rPr>
                                <w:noProof/>
                              </w:rPr>
                              <w:t xml:space="preserve"> - An illustrative (preliminary) poster template to summarise the local partner analyses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5B83E660" id="_x0000_s1032" type="#_x0000_t202" style="position:absolute;margin-left:108.65pt;margin-top:373.35pt;width:272.6pt;height:.05pt;z-index:251686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0+zVGQIAAD8EAAAOAAAAZHJzL2Uyb0RvYy54bWysU01v2zAMvQ/YfxB0X5ykWzEYcYosRYYB&#10;QVsgHXpWZDkWIIsapcTOfv0o2U66bqdhF5kWKX6897i46xrDTgq9Blvw2WTKmbISSm0PBf/+vPnw&#10;mTMfhC2FAasKflae3y3fv1u0LldzqMGUChklsT5vXcHrEFyeZV7WqhF+Ak5ZclaAjQj0i4esRNFS&#10;9sZk8+n0NmsBS4cglfd0e987+TLlryolw2NVeRWYKTj1FtKJ6dzHM1suRH5A4WothzbEP3TRCG2p&#10;6CXVvQiCHVH/karREsFDFSYSmgyqSkuVZqBpZtM30+xq4VSahcDx7gKT/39p5cNp556Qhe4LdERg&#10;BKR1Pvd0GefpKmzilzpl5CcIzxfYVBeYpMubj7fz6Zxckny3N59ijuz61KEPXxU0LBoFR+IkQSVO&#10;Wx/60DEkVvJgdLnRxsSf6FgbZCdB/LW1DmpI/luUsTHWQnzVJ4w32XWOaIVu3zFdUofjjHsozzQ6&#10;Qq8K7+RGU72t8OFJIMmARiJph0c6KgNtwWGwOKsBf/7tPsYTO+TlrCVZFdz/OApUnJlvlniLGhwN&#10;HI39aNhjswaadEZL42Qy6QEGM5oVQvNCil/FKuQSVlKtgofRXIde3LQxUq1WKYiU5kTY2p2TMfWI&#10;63P3ItANrAQi8wFGwYn8DTl9bKLHrY6BkE7MRVx7FAe4SaWJ+2Gj4hq8/k9R171f/gIAAP//AwBQ&#10;SwMEFAAGAAgAAAAhAJ6WKyLiAAAACwEAAA8AAABkcnMvZG93bnJldi54bWxMj7FOwzAQhnck3sE6&#10;JBZEnaYhqdI4VVXBAEtF6NLNja9xID5HsdOGt8d0gfHuPv33/cV6Mh074+BaSwLmswgYUm1VS42A&#10;/cfL4xKY85KU7CyhgG90sC5vbwqZK3uhdzxXvmEhhFwuBWjv+5xzV2s00s1sjxRuJzsY6cM4NFwN&#10;8hLCTcfjKEq5kS2FD1r2uNVYf1WjEbBLDjv9MJ6e3zbJYnjdj9v0s6mEuL+bNitgHif/B8OvflCH&#10;Mjgd7UjKsU5APM8WARWQJWkGLBBZGj8BO143S+Blwf93KH8AAAD//wMAUEsBAi0AFAAGAAgAAAAh&#10;ALaDOJL+AAAA4QEAABMAAAAAAAAAAAAAAAAAAAAAAFtDb250ZW50X1R5cGVzXS54bWxQSwECLQAU&#10;AAYACAAAACEAOP0h/9YAAACUAQAACwAAAAAAAAAAAAAAAAAvAQAAX3JlbHMvLnJlbHNQSwECLQAU&#10;AAYACAAAACEAmdPs1RkCAAA/BAAADgAAAAAAAAAAAAAAAAAuAgAAZHJzL2Uyb0RvYy54bWxQSwEC&#10;LQAUAAYACAAAACEAnpYrIuIAAAALAQAADwAAAAAAAAAAAAAAAABzBAAAZHJzL2Rvd25yZXYueG1s&#10;UEsFBgAAAAAEAAQA8wAAAIIFAAAAAA==&#10;" stroked="f">
                <v:textbox style="mso-fit-shape-to-text:t" inset="0,0,0,0">
                  <w:txbxContent>
                    <w:p w14:paraId="06C67B29" w14:textId="37E324B2" w:rsidR="009571FD" w:rsidRPr="00486993" w:rsidRDefault="009571FD" w:rsidP="00881784">
                      <w:pPr>
                        <w:pStyle w:val="Kpalrs"/>
                        <w:rPr>
                          <w:noProof/>
                        </w:rPr>
                      </w:pPr>
                      <w:r w:rsidRPr="00881784">
                        <w:rPr>
                          <w:b/>
                          <w:bCs/>
                          <w:noProof/>
                        </w:rPr>
                        <w:t>Figure 4</w:t>
                      </w:r>
                      <w:r w:rsidRPr="00881784">
                        <w:rPr>
                          <w:noProof/>
                        </w:rPr>
                        <w:t xml:space="preserve"> - An illustrative (preliminary) poster template to summarise the local partner analyses</w:t>
                      </w:r>
                    </w:p>
                  </w:txbxContent>
                </v:textbox>
                <w10:wrap type="square"/>
              </v:shape>
            </w:pict>
          </mc:Fallback>
        </mc:AlternateContent>
      </w:r>
      <w:r w:rsidR="00233DBB" w:rsidRPr="00233DBB">
        <w:rPr>
          <w:noProof/>
          <w:lang w:val="hu-HU"/>
        </w:rPr>
        <w:drawing>
          <wp:anchor distT="0" distB="0" distL="114300" distR="114300" simplePos="0" relativeHeight="251678720" behindDoc="1" locked="0" layoutInCell="1" allowOverlap="1" wp14:anchorId="46FFD2F0" wp14:editId="56BAD699">
            <wp:simplePos x="0" y="0"/>
            <wp:positionH relativeFrom="column">
              <wp:posOffset>1379855</wp:posOffset>
            </wp:positionH>
            <wp:positionV relativeFrom="paragraph">
              <wp:posOffset>80645</wp:posOffset>
            </wp:positionV>
            <wp:extent cx="3462020" cy="4603750"/>
            <wp:effectExtent l="0" t="0" r="5080" b="6350"/>
            <wp:wrapSquare wrapText="bothSides"/>
            <wp:docPr id="550588779" name="Kép 1" descr="A képen szöveg, képernyőkép, Betűtípus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588779" name="Kép 1" descr="A képen szöveg, képernyőkép, Betűtípus látható&#10;&#10;Automatikusan generált leírás"/>
                    <pic:cNvPicPr/>
                  </pic:nvPicPr>
                  <pic:blipFill>
                    <a:blip r:embed="rId16">
                      <a:extLst>
                        <a:ext uri="{28A0092B-C50C-407E-A947-70E740481C1C}">
                          <a14:useLocalDpi xmlns:a14="http://schemas.microsoft.com/office/drawing/2010/main" val="0"/>
                        </a:ext>
                      </a:extLst>
                    </a:blip>
                    <a:stretch>
                      <a:fillRect/>
                    </a:stretch>
                  </pic:blipFill>
                  <pic:spPr>
                    <a:xfrm>
                      <a:off x="0" y="0"/>
                      <a:ext cx="3462020" cy="4603750"/>
                    </a:xfrm>
                    <a:prstGeom prst="rect">
                      <a:avLst/>
                    </a:prstGeom>
                  </pic:spPr>
                </pic:pic>
              </a:graphicData>
            </a:graphic>
            <wp14:sizeRelH relativeFrom="margin">
              <wp14:pctWidth>0</wp14:pctWidth>
            </wp14:sizeRelH>
            <wp14:sizeRelV relativeFrom="margin">
              <wp14:pctHeight>0</wp14:pctHeight>
            </wp14:sizeRelV>
          </wp:anchor>
        </w:drawing>
      </w:r>
      <w:r w:rsidR="00233DBB">
        <w:t> </w:t>
      </w:r>
    </w:p>
    <w:p w14:paraId="0000012A" w14:textId="7228C06A" w:rsidR="00CF2104" w:rsidRDefault="00233DBB" w:rsidP="00233DBB">
      <w:pPr>
        <w:pBdr>
          <w:top w:val="nil"/>
          <w:left w:val="nil"/>
          <w:bottom w:val="nil"/>
          <w:right w:val="nil"/>
          <w:between w:val="nil"/>
        </w:pBdr>
        <w:spacing w:after="200" w:line="240" w:lineRule="auto"/>
        <w:ind w:left="142"/>
        <w:rPr>
          <w:i/>
          <w:color w:val="44546A"/>
          <w:sz w:val="18"/>
          <w:szCs w:val="18"/>
        </w:rPr>
      </w:pPr>
      <w:r w:rsidRPr="00233DBB">
        <w:t xml:space="preserve">   </w:t>
      </w:r>
      <w:r w:rsidR="00CB5E95">
        <w:br w:type="page"/>
      </w:r>
    </w:p>
    <w:p w14:paraId="0000012B" w14:textId="66172AF6" w:rsidR="00CF2104" w:rsidRDefault="00E413E9" w:rsidP="00E413E9">
      <w:pPr>
        <w:pStyle w:val="Cmsor1"/>
        <w:numPr>
          <w:ilvl w:val="0"/>
          <w:numId w:val="4"/>
        </w:numPr>
        <w:jc w:val="both"/>
      </w:pPr>
      <w:r>
        <w:lastRenderedPageBreak/>
        <w:t xml:space="preserve"> </w:t>
      </w:r>
      <w:bookmarkStart w:id="25" w:name="_Toc167702784"/>
      <w:r w:rsidR="00CB5E95">
        <w:t>Sources</w:t>
      </w:r>
      <w:bookmarkEnd w:id="25"/>
    </w:p>
    <w:p w14:paraId="554FA3B8" w14:textId="7C4CA1EC" w:rsidR="00E030C9" w:rsidRPr="002F7A03" w:rsidRDefault="00E030C9" w:rsidP="00EC17BA">
      <w:pPr>
        <w:numPr>
          <w:ilvl w:val="0"/>
          <w:numId w:val="1"/>
        </w:numPr>
        <w:spacing w:after="0"/>
        <w:jc w:val="both"/>
        <w:rPr>
          <w:rFonts w:asciiTheme="majorBidi" w:eastAsia="Arial" w:hAnsiTheme="majorBidi" w:cstheme="majorBidi"/>
          <w:sz w:val="20"/>
          <w:szCs w:val="20"/>
          <w:u w:val="single"/>
        </w:rPr>
      </w:pPr>
      <w:r w:rsidRPr="002F7A03">
        <w:rPr>
          <w:rFonts w:asciiTheme="majorBidi" w:eastAsia="Arial" w:hAnsiTheme="majorBidi" w:cstheme="majorBidi"/>
          <w:sz w:val="20"/>
          <w:szCs w:val="20"/>
        </w:rPr>
        <w:t>SCIROCCO Maturity Model for Integrated Care.</w:t>
      </w:r>
      <w:r w:rsidR="00D47643" w:rsidRPr="002F7A03">
        <w:rPr>
          <w:rFonts w:asciiTheme="majorBidi" w:eastAsia="Arial" w:hAnsiTheme="majorBidi" w:cstheme="majorBidi"/>
          <w:sz w:val="20"/>
          <w:szCs w:val="20"/>
        </w:rPr>
        <w:t xml:space="preserve"> </w:t>
      </w:r>
      <w:r w:rsidR="00D47643" w:rsidRPr="002F7A03">
        <w:rPr>
          <w:rFonts w:asciiTheme="majorBidi" w:eastAsia="Arial" w:hAnsiTheme="majorBidi" w:cstheme="majorBidi"/>
          <w:sz w:val="20"/>
          <w:szCs w:val="20"/>
          <w:u w:val="single"/>
        </w:rPr>
        <w:t>https://www.scirocco-project.eu/maturitymodel/</w:t>
      </w:r>
      <w:r w:rsidRPr="002F7A03">
        <w:rPr>
          <w:rFonts w:asciiTheme="majorBidi" w:eastAsia="Arial" w:hAnsiTheme="majorBidi" w:cstheme="majorBidi"/>
          <w:sz w:val="20"/>
          <w:szCs w:val="20"/>
          <w:u w:val="single"/>
        </w:rPr>
        <w:t xml:space="preserve"> </w:t>
      </w:r>
    </w:p>
    <w:p w14:paraId="0000012D" w14:textId="3DD88174" w:rsidR="00CF2104" w:rsidRPr="002F7A03" w:rsidRDefault="00CB5E95" w:rsidP="00EC17BA">
      <w:pPr>
        <w:numPr>
          <w:ilvl w:val="0"/>
          <w:numId w:val="1"/>
        </w:numPr>
        <w:spacing w:after="0"/>
        <w:jc w:val="both"/>
        <w:rPr>
          <w:rFonts w:asciiTheme="majorBidi" w:hAnsiTheme="majorBidi" w:cstheme="majorBidi"/>
          <w:sz w:val="20"/>
          <w:szCs w:val="20"/>
        </w:rPr>
      </w:pPr>
      <w:r w:rsidRPr="002F7A03">
        <w:rPr>
          <w:rFonts w:asciiTheme="majorBidi" w:eastAsia="Arial" w:hAnsiTheme="majorBidi" w:cstheme="majorBidi"/>
          <w:sz w:val="20"/>
          <w:szCs w:val="20"/>
        </w:rPr>
        <w:t>Consolidated Framework for Implementation Research.  CFIR:</w:t>
      </w:r>
      <w:hyperlink r:id="rId17" w:history="1">
        <w:r w:rsidR="00D47643" w:rsidRPr="002F7A03">
          <w:rPr>
            <w:rStyle w:val="Hiperhivatkozs"/>
            <w:rFonts w:asciiTheme="majorBidi" w:eastAsia="Arial" w:hAnsiTheme="majorBidi" w:cstheme="majorBidi"/>
            <w:sz w:val="20"/>
            <w:szCs w:val="20"/>
          </w:rPr>
          <w:t xml:space="preserve"> </w:t>
        </w:r>
      </w:hyperlink>
      <w:hyperlink r:id="rId18">
        <w:r w:rsidRPr="002F7A03">
          <w:rPr>
            <w:rFonts w:asciiTheme="majorBidi" w:eastAsia="Arial" w:hAnsiTheme="majorBidi" w:cstheme="majorBidi"/>
            <w:sz w:val="20"/>
            <w:szCs w:val="20"/>
            <w:u w:val="single"/>
          </w:rPr>
          <w:t>https://cfirguide.org/constructs/</w:t>
        </w:r>
      </w:hyperlink>
      <w:r w:rsidRPr="002F7A03">
        <w:rPr>
          <w:rFonts w:asciiTheme="majorBidi" w:eastAsia="Arial" w:hAnsiTheme="majorBidi" w:cstheme="majorBidi"/>
          <w:sz w:val="20"/>
          <w:szCs w:val="20"/>
        </w:rPr>
        <w:t xml:space="preserve"> </w:t>
      </w:r>
    </w:p>
    <w:p w14:paraId="0000012E" w14:textId="77777777" w:rsidR="00CF2104" w:rsidRPr="002F7A03" w:rsidRDefault="00CB5E95" w:rsidP="00EC17BA">
      <w:pPr>
        <w:numPr>
          <w:ilvl w:val="0"/>
          <w:numId w:val="1"/>
        </w:numPr>
        <w:spacing w:after="0"/>
        <w:jc w:val="both"/>
        <w:rPr>
          <w:rFonts w:asciiTheme="majorBidi" w:eastAsia="Calibri" w:hAnsiTheme="majorBidi" w:cstheme="majorBidi"/>
          <w:sz w:val="20"/>
          <w:szCs w:val="20"/>
        </w:rPr>
      </w:pPr>
      <w:r w:rsidRPr="002F7A03">
        <w:rPr>
          <w:rFonts w:asciiTheme="majorBidi" w:eastAsia="Arial" w:hAnsiTheme="majorBidi" w:cstheme="majorBidi"/>
          <w:sz w:val="20"/>
          <w:szCs w:val="20"/>
        </w:rPr>
        <w:t>Global Digital Health Monitor.</w:t>
      </w:r>
      <w:r w:rsidRPr="002F7A03">
        <w:rPr>
          <w:rFonts w:asciiTheme="majorBidi" w:eastAsia="Arial" w:hAnsiTheme="majorBidi" w:cstheme="majorBidi"/>
          <w:b/>
          <w:sz w:val="20"/>
          <w:szCs w:val="20"/>
        </w:rPr>
        <w:t xml:space="preserve"> </w:t>
      </w:r>
      <w:r w:rsidRPr="002F7A03">
        <w:rPr>
          <w:rFonts w:asciiTheme="majorBidi" w:eastAsia="Arial" w:hAnsiTheme="majorBidi" w:cstheme="majorBidi"/>
          <w:sz w:val="20"/>
          <w:szCs w:val="20"/>
        </w:rPr>
        <w:t>Indicators:</w:t>
      </w:r>
      <w:hyperlink r:id="rId19">
        <w:r w:rsidRPr="002F7A03">
          <w:rPr>
            <w:rFonts w:asciiTheme="majorBidi" w:eastAsia="Arial" w:hAnsiTheme="majorBidi" w:cstheme="majorBidi"/>
            <w:sz w:val="20"/>
            <w:szCs w:val="20"/>
          </w:rPr>
          <w:t xml:space="preserve"> </w:t>
        </w:r>
      </w:hyperlink>
      <w:hyperlink r:id="rId20">
        <w:r w:rsidRPr="002F7A03">
          <w:rPr>
            <w:rFonts w:asciiTheme="majorBidi" w:eastAsia="Arial" w:hAnsiTheme="majorBidi" w:cstheme="majorBidi"/>
            <w:sz w:val="20"/>
            <w:szCs w:val="20"/>
            <w:u w:val="single"/>
          </w:rPr>
          <w:t>https://monitor.digitalhealthmonitor.org/indicators_info</w:t>
        </w:r>
      </w:hyperlink>
      <w:r w:rsidRPr="002F7A03">
        <w:rPr>
          <w:rFonts w:asciiTheme="majorBidi" w:eastAsia="Arial" w:hAnsiTheme="majorBidi" w:cstheme="majorBidi"/>
          <w:sz w:val="20"/>
          <w:szCs w:val="20"/>
        </w:rPr>
        <w:t xml:space="preserve"> </w:t>
      </w:r>
    </w:p>
    <w:p w14:paraId="0000012F" w14:textId="77777777" w:rsidR="00CF2104" w:rsidRPr="002F7A03" w:rsidRDefault="00CB5E95" w:rsidP="00EC17BA">
      <w:pPr>
        <w:numPr>
          <w:ilvl w:val="0"/>
          <w:numId w:val="1"/>
        </w:numPr>
        <w:spacing w:after="0"/>
        <w:jc w:val="both"/>
        <w:rPr>
          <w:rFonts w:asciiTheme="majorBidi" w:eastAsia="Arial" w:hAnsiTheme="majorBidi" w:cstheme="majorBidi"/>
          <w:sz w:val="20"/>
          <w:szCs w:val="20"/>
        </w:rPr>
      </w:pPr>
      <w:r w:rsidRPr="002F7A03">
        <w:rPr>
          <w:rFonts w:asciiTheme="majorBidi" w:eastAsia="Arial" w:hAnsiTheme="majorBidi" w:cstheme="majorBidi"/>
          <w:sz w:val="20"/>
          <w:szCs w:val="20"/>
        </w:rPr>
        <w:t>Carvalho, J. V., Rocha, Á., &amp; Abreu, A. (2016). Maturity Models of Healthcare Information Systems and Technologies: a Literature Review. Journal of medical systems, 40(6), 131.</w:t>
      </w:r>
      <w:hyperlink r:id="rId21">
        <w:r w:rsidRPr="002F7A03">
          <w:rPr>
            <w:rFonts w:asciiTheme="majorBidi" w:eastAsia="Arial" w:hAnsiTheme="majorBidi" w:cstheme="majorBidi"/>
            <w:sz w:val="20"/>
            <w:szCs w:val="20"/>
          </w:rPr>
          <w:t xml:space="preserve"> </w:t>
        </w:r>
      </w:hyperlink>
      <w:hyperlink r:id="rId22">
        <w:r w:rsidRPr="002F7A03">
          <w:rPr>
            <w:rFonts w:asciiTheme="majorBidi" w:eastAsia="Arial" w:hAnsiTheme="majorBidi" w:cstheme="majorBidi"/>
            <w:sz w:val="20"/>
            <w:szCs w:val="20"/>
            <w:u w:val="single"/>
          </w:rPr>
          <w:t>https://doi.org/10.1007/s10916-016-0486-5</w:t>
        </w:r>
      </w:hyperlink>
      <w:r w:rsidRPr="002F7A03">
        <w:rPr>
          <w:rFonts w:asciiTheme="majorBidi" w:eastAsia="Arial" w:hAnsiTheme="majorBidi" w:cstheme="majorBidi"/>
          <w:sz w:val="20"/>
          <w:szCs w:val="20"/>
        </w:rPr>
        <w:t xml:space="preserve"> </w:t>
      </w:r>
    </w:p>
    <w:p w14:paraId="36689FD5" w14:textId="4CE6B194" w:rsidR="00EC17BA" w:rsidRPr="002F7A03" w:rsidRDefault="00EC17BA" w:rsidP="00EC17BA">
      <w:pPr>
        <w:numPr>
          <w:ilvl w:val="0"/>
          <w:numId w:val="1"/>
        </w:numPr>
        <w:spacing w:after="0"/>
        <w:jc w:val="both"/>
        <w:rPr>
          <w:rFonts w:asciiTheme="majorBidi" w:eastAsia="Arial" w:hAnsiTheme="majorBidi" w:cstheme="majorBidi"/>
          <w:sz w:val="20"/>
          <w:szCs w:val="20"/>
        </w:rPr>
      </w:pPr>
      <w:r w:rsidRPr="002F7A03">
        <w:rPr>
          <w:rFonts w:asciiTheme="majorBidi" w:eastAsia="Arial" w:hAnsiTheme="majorBidi" w:cstheme="majorBidi"/>
          <w:sz w:val="20"/>
          <w:szCs w:val="20"/>
        </w:rPr>
        <w:t>Cognet, B., Pernot, JP., Rivest, L., Danjou, C. (2023). Systematic comparison of digital maturity assessment models, Journal of Industrial and Production Engineering, 40:7, 519-537, DOI: 10.1080/21681015.2023.2242340</w:t>
      </w:r>
    </w:p>
    <w:p w14:paraId="00000130" w14:textId="77777777" w:rsidR="00CF2104" w:rsidRPr="002F7A03" w:rsidRDefault="00CB5E95" w:rsidP="00EC17BA">
      <w:pPr>
        <w:numPr>
          <w:ilvl w:val="0"/>
          <w:numId w:val="1"/>
        </w:numPr>
        <w:spacing w:after="0"/>
        <w:jc w:val="both"/>
        <w:rPr>
          <w:rFonts w:asciiTheme="majorBidi" w:eastAsia="Arial" w:hAnsiTheme="majorBidi" w:cstheme="majorBidi"/>
          <w:sz w:val="20"/>
          <w:szCs w:val="20"/>
        </w:rPr>
      </w:pPr>
      <w:r w:rsidRPr="002F7A03">
        <w:rPr>
          <w:rFonts w:asciiTheme="majorBidi" w:eastAsia="Arial" w:hAnsiTheme="majorBidi" w:cstheme="majorBidi"/>
          <w:sz w:val="20"/>
          <w:szCs w:val="20"/>
          <w:lang w:val="it-IT"/>
        </w:rPr>
        <w:t xml:space="preserve">Godinho, M.A., Ansari, S., Guo, GN., Liaw, S.T. (2021). </w:t>
      </w:r>
      <w:r w:rsidRPr="002F7A03">
        <w:rPr>
          <w:rFonts w:asciiTheme="majorBidi" w:eastAsia="Arial" w:hAnsiTheme="majorBidi" w:cstheme="majorBidi"/>
          <w:sz w:val="20"/>
          <w:szCs w:val="20"/>
        </w:rPr>
        <w:t xml:space="preserve">Toolkits for implementing and evaluating digital health: A systematic review of rigor and reporting. J Am Med Inform Assoc. Jun 12;28(6):1298-1307. doi: 10.1093/jamia/ocab010. </w:t>
      </w:r>
      <w:hyperlink r:id="rId23">
        <w:r w:rsidRPr="002F7A03">
          <w:rPr>
            <w:rFonts w:asciiTheme="majorBidi" w:eastAsia="Arial" w:hAnsiTheme="majorBidi" w:cstheme="majorBidi"/>
            <w:sz w:val="20"/>
            <w:szCs w:val="20"/>
          </w:rPr>
          <w:t>https://www.ncbi.nlm.nih.gov/pmc/articles/PMC8200262/</w:t>
        </w:r>
      </w:hyperlink>
    </w:p>
    <w:p w14:paraId="00000131" w14:textId="77777777" w:rsidR="00CF2104" w:rsidRPr="002F7A03" w:rsidRDefault="00CB5E95" w:rsidP="00EC17BA">
      <w:pPr>
        <w:numPr>
          <w:ilvl w:val="0"/>
          <w:numId w:val="1"/>
        </w:numPr>
        <w:spacing w:after="0"/>
        <w:jc w:val="both"/>
        <w:rPr>
          <w:rFonts w:asciiTheme="majorBidi" w:eastAsia="Arial" w:hAnsiTheme="majorBidi" w:cstheme="majorBidi"/>
          <w:sz w:val="20"/>
          <w:szCs w:val="20"/>
        </w:rPr>
      </w:pPr>
      <w:r w:rsidRPr="002F7A03">
        <w:rPr>
          <w:rFonts w:asciiTheme="majorBidi" w:eastAsia="Arial" w:hAnsiTheme="majorBidi" w:cstheme="majorBidi"/>
          <w:sz w:val="20"/>
          <w:szCs w:val="20"/>
        </w:rPr>
        <w:t>Gomes, J., &amp; Romão, M. (2018). Information System Maturity Models in Healthcare. Journal of medical systems, 42(12), 235.</w:t>
      </w:r>
      <w:hyperlink r:id="rId24">
        <w:r w:rsidRPr="002F7A03">
          <w:rPr>
            <w:rFonts w:asciiTheme="majorBidi" w:eastAsia="Arial" w:hAnsiTheme="majorBidi" w:cstheme="majorBidi"/>
            <w:sz w:val="20"/>
            <w:szCs w:val="20"/>
          </w:rPr>
          <w:t xml:space="preserve"> </w:t>
        </w:r>
      </w:hyperlink>
      <w:hyperlink r:id="rId25">
        <w:r w:rsidRPr="002F7A03">
          <w:rPr>
            <w:rFonts w:asciiTheme="majorBidi" w:eastAsia="Arial" w:hAnsiTheme="majorBidi" w:cstheme="majorBidi"/>
            <w:sz w:val="20"/>
            <w:szCs w:val="20"/>
            <w:u w:val="single"/>
          </w:rPr>
          <w:t>https://doi.org/10.1007/s10916-018-1097-0</w:t>
        </w:r>
      </w:hyperlink>
      <w:r w:rsidRPr="002F7A03">
        <w:rPr>
          <w:rFonts w:asciiTheme="majorBidi" w:eastAsia="Arial" w:hAnsiTheme="majorBidi" w:cstheme="majorBidi"/>
          <w:sz w:val="20"/>
          <w:szCs w:val="20"/>
        </w:rPr>
        <w:t xml:space="preserve"> </w:t>
      </w:r>
    </w:p>
    <w:p w14:paraId="00000132" w14:textId="77777777" w:rsidR="00CF2104" w:rsidRPr="002F7A03" w:rsidRDefault="00CB5E95" w:rsidP="00EC17BA">
      <w:pPr>
        <w:numPr>
          <w:ilvl w:val="0"/>
          <w:numId w:val="1"/>
        </w:numPr>
        <w:spacing w:after="0"/>
        <w:jc w:val="both"/>
        <w:rPr>
          <w:rFonts w:asciiTheme="majorBidi" w:eastAsia="Arial" w:hAnsiTheme="majorBidi" w:cstheme="majorBidi"/>
          <w:sz w:val="20"/>
          <w:szCs w:val="20"/>
        </w:rPr>
      </w:pPr>
      <w:r w:rsidRPr="002F7A03">
        <w:rPr>
          <w:rFonts w:asciiTheme="majorBidi" w:eastAsia="Arial" w:hAnsiTheme="majorBidi" w:cstheme="majorBidi"/>
          <w:sz w:val="20"/>
          <w:szCs w:val="20"/>
        </w:rPr>
        <w:t>Greenhalgh, T., Wherton, J., Papoutsi, C., Lynch, J., Hughes, G., A'Court, C., Hinder, S., Fahy, N., Procter, R., &amp; Shaw, S. (2017). Beyond Adoption: A New Framework for Theorizing and Evaluating Nonadoption, Abandonment, and Challenges to the Scale-Up, Spread, and Sustainability of Health and Care Technologies. Journal of medical Internet research, 19(11), e367.</w:t>
      </w:r>
      <w:hyperlink r:id="rId26">
        <w:r w:rsidRPr="002F7A03">
          <w:rPr>
            <w:rFonts w:asciiTheme="majorBidi" w:eastAsia="Arial" w:hAnsiTheme="majorBidi" w:cstheme="majorBidi"/>
            <w:sz w:val="20"/>
            <w:szCs w:val="20"/>
          </w:rPr>
          <w:t xml:space="preserve"> </w:t>
        </w:r>
      </w:hyperlink>
      <w:hyperlink r:id="rId27">
        <w:r w:rsidRPr="002F7A03">
          <w:rPr>
            <w:rFonts w:asciiTheme="majorBidi" w:eastAsia="Arial" w:hAnsiTheme="majorBidi" w:cstheme="majorBidi"/>
            <w:sz w:val="20"/>
            <w:szCs w:val="20"/>
            <w:u w:val="single"/>
          </w:rPr>
          <w:t>https://doi.org/10.2196/jmir.8775</w:t>
        </w:r>
      </w:hyperlink>
      <w:r w:rsidRPr="002F7A03">
        <w:rPr>
          <w:rFonts w:asciiTheme="majorBidi" w:eastAsia="Arial" w:hAnsiTheme="majorBidi" w:cstheme="majorBidi"/>
          <w:sz w:val="20"/>
          <w:szCs w:val="20"/>
        </w:rPr>
        <w:t xml:space="preserve"> </w:t>
      </w:r>
      <w:r w:rsidRPr="002F7A03">
        <w:rPr>
          <w:rFonts w:asciiTheme="majorBidi" w:eastAsia="Arial" w:hAnsiTheme="majorBidi" w:cstheme="majorBidi"/>
          <w:i/>
          <w:sz w:val="20"/>
          <w:szCs w:val="20"/>
        </w:rPr>
        <w:t>(and supplementary materials)</w:t>
      </w:r>
    </w:p>
    <w:p w14:paraId="54098B0C" w14:textId="1D6C250F" w:rsidR="003E6837" w:rsidRPr="002F7A03" w:rsidRDefault="003E6837" w:rsidP="00EC17BA">
      <w:pPr>
        <w:numPr>
          <w:ilvl w:val="0"/>
          <w:numId w:val="1"/>
        </w:numPr>
        <w:spacing w:after="0"/>
        <w:jc w:val="both"/>
        <w:rPr>
          <w:rFonts w:asciiTheme="majorBidi" w:eastAsia="Arial" w:hAnsiTheme="majorBidi" w:cstheme="majorBidi"/>
          <w:sz w:val="20"/>
          <w:szCs w:val="20"/>
        </w:rPr>
      </w:pPr>
      <w:r w:rsidRPr="002F7A03">
        <w:rPr>
          <w:rFonts w:asciiTheme="majorBidi" w:hAnsiTheme="majorBidi" w:cstheme="majorBidi"/>
          <w:sz w:val="20"/>
          <w:szCs w:val="20"/>
          <w:shd w:val="clear" w:color="auto" w:fill="FFFFFF"/>
          <w:lang w:val="it-IT"/>
        </w:rPr>
        <w:t xml:space="preserve">Liaw, S.T., Godinho, MA. </w:t>
      </w:r>
      <w:r w:rsidRPr="002F7A03">
        <w:rPr>
          <w:rFonts w:asciiTheme="majorBidi" w:hAnsiTheme="majorBidi" w:cstheme="majorBidi"/>
          <w:sz w:val="20"/>
          <w:szCs w:val="20"/>
          <w:shd w:val="clear" w:color="auto" w:fill="FFFFFF"/>
        </w:rPr>
        <w:t xml:space="preserve">(2023). Digital health and capability maturity models-a critical thematic review and conceptual synthesis of the literature. J Am Med Inform Assoc. Jan 18;30(2):393-406. doi: 10.1093/jamia/ocac228. </w:t>
      </w:r>
    </w:p>
    <w:p w14:paraId="00000133" w14:textId="77777777" w:rsidR="00CF2104" w:rsidRPr="002F7A03" w:rsidRDefault="00CB5E95" w:rsidP="00EC17BA">
      <w:pPr>
        <w:numPr>
          <w:ilvl w:val="0"/>
          <w:numId w:val="1"/>
        </w:numPr>
        <w:spacing w:after="0"/>
        <w:jc w:val="both"/>
        <w:rPr>
          <w:rFonts w:asciiTheme="majorBidi" w:eastAsia="Arial" w:hAnsiTheme="majorBidi" w:cstheme="majorBidi"/>
          <w:sz w:val="20"/>
          <w:szCs w:val="20"/>
        </w:rPr>
      </w:pPr>
      <w:r w:rsidRPr="002F7A03">
        <w:rPr>
          <w:rFonts w:asciiTheme="majorBidi" w:eastAsia="Arial" w:hAnsiTheme="majorBidi" w:cstheme="majorBidi"/>
          <w:sz w:val="20"/>
          <w:szCs w:val="20"/>
          <w:lang w:val="it-IT"/>
        </w:rPr>
        <w:t xml:space="preserve">Liaw, S. T., Zhou, R., Ansari, S., &amp; Gao, J. (2021). </w:t>
      </w:r>
      <w:r w:rsidRPr="002F7A03">
        <w:rPr>
          <w:rFonts w:asciiTheme="majorBidi" w:eastAsia="Arial" w:hAnsiTheme="majorBidi" w:cstheme="majorBidi"/>
          <w:sz w:val="20"/>
          <w:szCs w:val="20"/>
        </w:rPr>
        <w:t>A digital health profile &amp; maturity assessment toolkit: cocreation and testing in the Pacific Islands. Journal of the American Medical Informatics Association : JAMIA, 28(3), 494–503.</w:t>
      </w:r>
      <w:hyperlink r:id="rId28">
        <w:r w:rsidRPr="002F7A03">
          <w:rPr>
            <w:rFonts w:asciiTheme="majorBidi" w:eastAsia="Arial" w:hAnsiTheme="majorBidi" w:cstheme="majorBidi"/>
            <w:sz w:val="20"/>
            <w:szCs w:val="20"/>
          </w:rPr>
          <w:t xml:space="preserve"> </w:t>
        </w:r>
      </w:hyperlink>
      <w:hyperlink r:id="rId29">
        <w:r w:rsidRPr="002F7A03">
          <w:rPr>
            <w:rFonts w:asciiTheme="majorBidi" w:eastAsia="Arial" w:hAnsiTheme="majorBidi" w:cstheme="majorBidi"/>
            <w:sz w:val="20"/>
            <w:szCs w:val="20"/>
            <w:u w:val="single"/>
          </w:rPr>
          <w:t>https://doi.org/10.1093/jamia/ocaa255</w:t>
        </w:r>
      </w:hyperlink>
      <w:r w:rsidRPr="002F7A03">
        <w:rPr>
          <w:rFonts w:asciiTheme="majorBidi" w:eastAsia="Arial" w:hAnsiTheme="majorBidi" w:cstheme="majorBidi"/>
          <w:sz w:val="20"/>
          <w:szCs w:val="20"/>
        </w:rPr>
        <w:t xml:space="preserve">    </w:t>
      </w:r>
    </w:p>
    <w:p w14:paraId="00000134" w14:textId="77777777" w:rsidR="00CF2104" w:rsidRPr="002F7A03" w:rsidRDefault="00CB5E95" w:rsidP="00EC17BA">
      <w:pPr>
        <w:numPr>
          <w:ilvl w:val="0"/>
          <w:numId w:val="1"/>
        </w:numPr>
        <w:spacing w:after="0"/>
        <w:jc w:val="both"/>
        <w:rPr>
          <w:rFonts w:asciiTheme="majorBidi" w:eastAsia="Arial" w:hAnsiTheme="majorBidi" w:cstheme="majorBidi"/>
          <w:sz w:val="20"/>
          <w:szCs w:val="20"/>
        </w:rPr>
      </w:pPr>
      <w:r w:rsidRPr="002F7A03">
        <w:rPr>
          <w:rFonts w:asciiTheme="majorBidi" w:eastAsia="Arial" w:hAnsiTheme="majorBidi" w:cstheme="majorBidi"/>
          <w:sz w:val="20"/>
          <w:szCs w:val="20"/>
        </w:rPr>
        <w:t xml:space="preserve">Polatlı, L.Ö., Delice, E., Tozan, H., Ertürk, A. (2021). Digital Maturity Assessment Models for Health Systems. Journal of Health Systems and Policies (JHESP), 4, 63-77. DOI: 10.52675/jhesp.1145218 </w:t>
      </w:r>
    </w:p>
    <w:p w14:paraId="70FF8FCD" w14:textId="33F96F78" w:rsidR="003E6837" w:rsidRPr="002F7A03" w:rsidRDefault="003E6837" w:rsidP="00EC17BA">
      <w:pPr>
        <w:numPr>
          <w:ilvl w:val="0"/>
          <w:numId w:val="1"/>
        </w:numPr>
        <w:spacing w:after="0"/>
        <w:jc w:val="both"/>
        <w:rPr>
          <w:rFonts w:asciiTheme="majorBidi" w:eastAsia="Arial" w:hAnsiTheme="majorBidi" w:cstheme="majorBidi"/>
          <w:sz w:val="20"/>
          <w:szCs w:val="20"/>
        </w:rPr>
      </w:pPr>
      <w:r w:rsidRPr="002F7A03">
        <w:rPr>
          <w:rFonts w:asciiTheme="majorBidi" w:eastAsia="Arial" w:hAnsiTheme="majorBidi" w:cstheme="majorBidi"/>
          <w:sz w:val="20"/>
          <w:szCs w:val="20"/>
        </w:rPr>
        <w:t>Kolukısa Tarhan, A., Garousi, V., Turetken, O., Söylemez, M., Garossi, S. (2020). Maturity assessment and maturity models in health care: A multivocal literature review. Digit Health. Apr 1;6:2055207620914772. doi: 10.1177/2055207620914772.</w:t>
      </w:r>
    </w:p>
    <w:p w14:paraId="00000135" w14:textId="77777777" w:rsidR="00CF2104" w:rsidRPr="002F7A03" w:rsidRDefault="00CB5E95" w:rsidP="00EC17BA">
      <w:pPr>
        <w:numPr>
          <w:ilvl w:val="0"/>
          <w:numId w:val="1"/>
        </w:numPr>
        <w:spacing w:after="0" w:line="240" w:lineRule="auto"/>
        <w:jc w:val="both"/>
        <w:rPr>
          <w:rFonts w:asciiTheme="majorBidi" w:eastAsia="Arial" w:hAnsiTheme="majorBidi" w:cstheme="majorBidi"/>
          <w:sz w:val="20"/>
          <w:szCs w:val="20"/>
        </w:rPr>
      </w:pPr>
      <w:r w:rsidRPr="002F7A03">
        <w:rPr>
          <w:rFonts w:asciiTheme="majorBidi" w:eastAsia="Arial" w:hAnsiTheme="majorBidi" w:cstheme="majorBidi"/>
          <w:sz w:val="20"/>
          <w:szCs w:val="20"/>
        </w:rPr>
        <w:t xml:space="preserve">OECD (2023) Series of Country Health Profiles 2023, State of Health in the EU, OECD Editions, Paris, </w:t>
      </w:r>
      <w:hyperlink r:id="rId30">
        <w:r w:rsidRPr="002F7A03">
          <w:rPr>
            <w:rFonts w:asciiTheme="majorBidi" w:eastAsia="Arial" w:hAnsiTheme="majorBidi" w:cstheme="majorBidi"/>
            <w:sz w:val="20"/>
            <w:szCs w:val="20"/>
            <w:u w:val="single"/>
          </w:rPr>
          <w:t>https://www.oecd.org/health/country-health-profiles-eu.htm</w:t>
        </w:r>
      </w:hyperlink>
      <w:r w:rsidRPr="002F7A03">
        <w:rPr>
          <w:rFonts w:asciiTheme="majorBidi" w:eastAsia="Arial" w:hAnsiTheme="majorBidi" w:cstheme="majorBidi"/>
          <w:sz w:val="20"/>
          <w:szCs w:val="20"/>
        </w:rPr>
        <w:t xml:space="preserve"> </w:t>
      </w:r>
    </w:p>
    <w:p w14:paraId="00000136" w14:textId="77777777" w:rsidR="00CF2104" w:rsidRDefault="00CB5E95" w:rsidP="00EC17BA">
      <w:pPr>
        <w:numPr>
          <w:ilvl w:val="0"/>
          <w:numId w:val="1"/>
        </w:numPr>
        <w:spacing w:after="0" w:line="240" w:lineRule="auto"/>
        <w:jc w:val="both"/>
        <w:rPr>
          <w:rFonts w:ascii="Arial" w:eastAsia="Arial" w:hAnsi="Arial" w:cs="Arial"/>
        </w:rPr>
      </w:pPr>
      <w:r w:rsidRPr="002F7A03">
        <w:rPr>
          <w:rFonts w:asciiTheme="majorBidi" w:eastAsia="Arial" w:hAnsiTheme="majorBidi" w:cstheme="majorBidi"/>
          <w:sz w:val="20"/>
          <w:szCs w:val="20"/>
        </w:rPr>
        <w:t xml:space="preserve">OECD, EU (2022), Health at a Glance: Europe 2022 : State of Health in the EU Cycle, OCDE Editions, Paris, </w:t>
      </w:r>
      <w:hyperlink r:id="rId31">
        <w:r w:rsidRPr="002F7A03">
          <w:rPr>
            <w:rFonts w:asciiTheme="majorBidi" w:eastAsia="Arial" w:hAnsiTheme="majorBidi" w:cstheme="majorBidi"/>
            <w:sz w:val="20"/>
            <w:szCs w:val="20"/>
            <w:u w:val="single"/>
          </w:rPr>
          <w:t>https://doi.org/10.1787/507433b0-en</w:t>
        </w:r>
      </w:hyperlink>
      <w:r>
        <w:rPr>
          <w:rFonts w:ascii="Arial" w:eastAsia="Arial" w:hAnsi="Arial" w:cs="Arial"/>
        </w:rPr>
        <w:t xml:space="preserve"> </w:t>
      </w:r>
    </w:p>
    <w:p w14:paraId="00000137" w14:textId="77777777" w:rsidR="00CF2104" w:rsidRDefault="00CF2104"/>
    <w:p w14:paraId="00000138" w14:textId="77777777" w:rsidR="00CF2104" w:rsidRDefault="00CF2104">
      <w:pPr>
        <w:jc w:val="both"/>
      </w:pPr>
    </w:p>
    <w:p w14:paraId="00000139" w14:textId="77777777" w:rsidR="00CF2104" w:rsidRDefault="00CF2104">
      <w:pPr>
        <w:jc w:val="both"/>
      </w:pPr>
    </w:p>
    <w:p w14:paraId="0000013A" w14:textId="77777777" w:rsidR="00CF2104" w:rsidRDefault="00CF2104">
      <w:pPr>
        <w:jc w:val="both"/>
      </w:pPr>
    </w:p>
    <w:sectPr w:rsidR="00CF2104">
      <w:headerReference w:type="default" r:id="rId32"/>
      <w:footerReference w:type="default" r:id="rId33"/>
      <w:pgSz w:w="11906" w:h="16838"/>
      <w:pgMar w:top="1417" w:right="1417" w:bottom="1417" w:left="1417" w:header="708" w:footer="708"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3AFC8C" w14:textId="77777777" w:rsidR="007C1C74" w:rsidRDefault="007C1C74">
      <w:pPr>
        <w:spacing w:after="0" w:line="240" w:lineRule="auto"/>
      </w:pPr>
      <w:r>
        <w:separator/>
      </w:r>
    </w:p>
  </w:endnote>
  <w:endnote w:type="continuationSeparator" w:id="0">
    <w:p w14:paraId="7A0CB553" w14:textId="77777777" w:rsidR="007C1C74" w:rsidRDefault="007C1C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ptos">
    <w:altName w:val="Arial"/>
    <w:charset w:val="00"/>
    <w:family w:val="swiss"/>
    <w:pitch w:val="variable"/>
    <w:sig w:usb0="20000287" w:usb1="00000003" w:usb2="00000000" w:usb3="00000000" w:csb0="0000019F" w:csb1="00000000"/>
  </w:font>
  <w:font w:name="Aptos Display">
    <w:altName w:val="Arial"/>
    <w:charset w:val="00"/>
    <w:family w:val="swiss"/>
    <w:pitch w:val="variable"/>
    <w:sig w:usb0="20000287" w:usb1="00000003" w:usb2="00000000" w:usb3="00000000" w:csb0="0000019F" w:csb1="00000000"/>
  </w:font>
  <w:font w:name="Malgun Gothic">
    <w:panose1 w:val="020B0503020000020004"/>
    <w:charset w:val="81"/>
    <w:family w:val="swiss"/>
    <w:pitch w:val="variable"/>
    <w:sig w:usb0="9000002F" w:usb1="29D77CFB" w:usb2="00000012" w:usb3="00000000" w:csb0="00080001" w:csb1="00000000"/>
  </w:font>
  <w:font w:name="Open Sans">
    <w:altName w:val="Times New Roman"/>
    <w:charset w:val="00"/>
    <w:family w:val="swiss"/>
    <w:pitch w:val="variable"/>
    <w:sig w:usb0="E00002EF" w:usb1="4000205B" w:usb2="00000028"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szCs w:val="22"/>
      </w:rPr>
      <w:id w:val="-1636714971"/>
      <w:docPartObj>
        <w:docPartGallery w:val="Page Numbers (Bottom of Page)"/>
        <w:docPartUnique/>
      </w:docPartObj>
    </w:sdtPr>
    <w:sdtEndPr>
      <w:rPr>
        <w:b/>
        <w:bCs/>
        <w:color w:val="1BC3BA"/>
      </w:rPr>
    </w:sdtEndPr>
    <w:sdtContent>
      <w:p w14:paraId="02F3F2B4" w14:textId="3D86FB6B" w:rsidR="009571FD" w:rsidRPr="005B2C82" w:rsidRDefault="009571FD">
        <w:pPr>
          <w:pStyle w:val="llb"/>
          <w:jc w:val="center"/>
          <w:rPr>
            <w:b/>
            <w:bCs/>
            <w:color w:val="1BC3BA"/>
            <w:sz w:val="22"/>
            <w:szCs w:val="22"/>
          </w:rPr>
        </w:pPr>
        <w:r w:rsidRPr="005B2C82">
          <w:rPr>
            <w:noProof/>
            <w:sz w:val="22"/>
            <w:szCs w:val="22"/>
            <w:lang w:val="hu-HU"/>
          </w:rPr>
          <w:drawing>
            <wp:anchor distT="0" distB="0" distL="114300" distR="114300" simplePos="0" relativeHeight="251661312" behindDoc="0" locked="0" layoutInCell="1" hidden="0" allowOverlap="1" wp14:anchorId="48696E5E" wp14:editId="62B4C2B4">
              <wp:simplePos x="0" y="0"/>
              <wp:positionH relativeFrom="column">
                <wp:posOffset>3295185</wp:posOffset>
              </wp:positionH>
              <wp:positionV relativeFrom="paragraph">
                <wp:posOffset>186677</wp:posOffset>
              </wp:positionV>
              <wp:extent cx="2458800" cy="432000"/>
              <wp:effectExtent l="0" t="0" r="0" b="6350"/>
              <wp:wrapNone/>
              <wp:docPr id="8" name="image1.png" descr="A képen szöveg, képernyőkép, Betűtípus, Acélkék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0319878" name="image1.png" descr="A képen szöveg, képernyőkép, Betűtípus, Acélkék látható&#10;&#10;Automatikusan generált leírás"/>
                      <pic:cNvPicPr preferRelativeResize="0"/>
                    </pic:nvPicPr>
                    <pic:blipFill>
                      <a:blip r:embed="rId1"/>
                      <a:srcRect l="698" b="47239"/>
                      <a:stretch>
                        <a:fillRect/>
                      </a:stretch>
                    </pic:blipFill>
                    <pic:spPr>
                      <a:xfrm>
                        <a:off x="0" y="0"/>
                        <a:ext cx="2458800" cy="432000"/>
                      </a:xfrm>
                      <a:prstGeom prst="rect">
                        <a:avLst/>
                      </a:prstGeom>
                      <a:ln/>
                    </pic:spPr>
                  </pic:pic>
                </a:graphicData>
              </a:graphic>
              <wp14:sizeRelH relativeFrom="margin">
                <wp14:pctWidth>0</wp14:pctWidth>
              </wp14:sizeRelH>
              <wp14:sizeRelV relativeFrom="margin">
                <wp14:pctHeight>0</wp14:pctHeight>
              </wp14:sizeRelV>
            </wp:anchor>
          </w:drawing>
        </w:r>
        <w:r w:rsidRPr="005B2C82">
          <w:rPr>
            <w:b/>
            <w:bCs/>
            <w:color w:val="1BC3BA"/>
            <w:sz w:val="22"/>
            <w:szCs w:val="22"/>
          </w:rPr>
          <w:fldChar w:fldCharType="begin"/>
        </w:r>
        <w:r w:rsidRPr="005B2C82">
          <w:rPr>
            <w:b/>
            <w:bCs/>
            <w:color w:val="1BC3BA"/>
            <w:sz w:val="22"/>
            <w:szCs w:val="22"/>
          </w:rPr>
          <w:instrText>PAGE   \* MERGEFORMAT</w:instrText>
        </w:r>
        <w:r w:rsidRPr="005B2C82">
          <w:rPr>
            <w:b/>
            <w:bCs/>
            <w:color w:val="1BC3BA"/>
            <w:sz w:val="22"/>
            <w:szCs w:val="22"/>
          </w:rPr>
          <w:fldChar w:fldCharType="separate"/>
        </w:r>
        <w:r w:rsidR="00B051F9" w:rsidRPr="00B051F9">
          <w:rPr>
            <w:b/>
            <w:bCs/>
            <w:noProof/>
            <w:color w:val="1BC3BA"/>
            <w:sz w:val="22"/>
            <w:szCs w:val="22"/>
            <w:lang w:val="hu-HU"/>
          </w:rPr>
          <w:t>3</w:t>
        </w:r>
        <w:r w:rsidRPr="005B2C82">
          <w:rPr>
            <w:b/>
            <w:bCs/>
            <w:color w:val="1BC3BA"/>
            <w:sz w:val="22"/>
            <w:szCs w:val="22"/>
          </w:rPr>
          <w:fldChar w:fldCharType="end"/>
        </w:r>
      </w:p>
    </w:sdtContent>
  </w:sdt>
  <w:p w14:paraId="0000013F" w14:textId="6AC81D5E" w:rsidR="009571FD" w:rsidRPr="005B2C82" w:rsidRDefault="009571FD">
    <w:pPr>
      <w:pBdr>
        <w:top w:val="nil"/>
        <w:left w:val="nil"/>
        <w:bottom w:val="nil"/>
        <w:right w:val="nil"/>
        <w:between w:val="nil"/>
      </w:pBdr>
      <w:tabs>
        <w:tab w:val="center" w:pos="4536"/>
        <w:tab w:val="right" w:pos="9072"/>
      </w:tabs>
      <w:spacing w:after="0" w:line="240" w:lineRule="auto"/>
      <w:rPr>
        <w:b/>
        <w:bCs/>
        <w:i/>
        <w:iCs/>
        <w:color w:val="1BC3BA"/>
        <w:sz w:val="20"/>
        <w:szCs w:val="20"/>
      </w:rPr>
    </w:pPr>
    <w:r w:rsidRPr="005B2C82">
      <w:rPr>
        <w:b/>
        <w:bCs/>
        <w:i/>
        <w:iCs/>
        <w:color w:val="1BC3BA"/>
        <w:sz w:val="20"/>
        <w:szCs w:val="20"/>
      </w:rPr>
      <w:t>Accompanying document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52B117" w14:textId="77777777" w:rsidR="007C1C74" w:rsidRDefault="007C1C74">
      <w:pPr>
        <w:spacing w:after="0" w:line="240" w:lineRule="auto"/>
      </w:pPr>
      <w:r>
        <w:separator/>
      </w:r>
    </w:p>
  </w:footnote>
  <w:footnote w:type="continuationSeparator" w:id="0">
    <w:p w14:paraId="6280ABC3" w14:textId="77777777" w:rsidR="007C1C74" w:rsidRDefault="007C1C74">
      <w:pPr>
        <w:spacing w:after="0" w:line="240" w:lineRule="auto"/>
      </w:pPr>
      <w:r>
        <w:continuationSeparator/>
      </w:r>
    </w:p>
  </w:footnote>
  <w:footnote w:id="1">
    <w:p w14:paraId="07318940" w14:textId="77777777" w:rsidR="009571FD" w:rsidRDefault="009571FD" w:rsidP="001866BC">
      <w:pPr>
        <w:pBdr>
          <w:top w:val="nil"/>
          <w:left w:val="nil"/>
          <w:bottom w:val="nil"/>
          <w:right w:val="nil"/>
          <w:between w:val="nil"/>
        </w:pBdr>
        <w:spacing w:after="0" w:line="240" w:lineRule="auto"/>
        <w:jc w:val="both"/>
        <w:rPr>
          <w:color w:val="000000"/>
          <w:sz w:val="20"/>
          <w:szCs w:val="20"/>
        </w:rPr>
      </w:pPr>
      <w:r>
        <w:rPr>
          <w:vertAlign w:val="superscript"/>
        </w:rPr>
        <w:footnoteRef/>
      </w:r>
      <w:r>
        <w:rPr>
          <w:color w:val="000000"/>
          <w:sz w:val="20"/>
          <w:szCs w:val="20"/>
        </w:rPr>
        <w:t xml:space="preserve"> OECD, EU (2022), Health at a Glance: Europe 2022 : State of Health in the EU Cycle, OCDE Editions, Paris, </w:t>
      </w:r>
      <w:hyperlink r:id="rId1">
        <w:r>
          <w:rPr>
            <w:color w:val="0563C1"/>
            <w:sz w:val="20"/>
            <w:szCs w:val="20"/>
            <w:u w:val="single"/>
          </w:rPr>
          <w:t>https://doi.org/10.1787/507433b0-en</w:t>
        </w:r>
      </w:hyperlink>
    </w:p>
  </w:footnote>
  <w:footnote w:id="2">
    <w:p w14:paraId="126B0683" w14:textId="3E5CB7B0" w:rsidR="009571FD" w:rsidRDefault="009571FD" w:rsidP="001866BC">
      <w:pPr>
        <w:spacing w:after="0"/>
        <w:jc w:val="both"/>
        <w:rPr>
          <w:rFonts w:ascii="Arial" w:eastAsia="Arial" w:hAnsi="Arial" w:cs="Arial"/>
        </w:rPr>
      </w:pPr>
      <w:r>
        <w:rPr>
          <w:rStyle w:val="Lbjegyzet-hivatkozs"/>
        </w:rPr>
        <w:footnoteRef/>
      </w:r>
      <w:r>
        <w:t xml:space="preserve"> </w:t>
      </w:r>
      <w:r w:rsidRPr="00E030C9">
        <w:rPr>
          <w:sz w:val="20"/>
          <w:szCs w:val="20"/>
        </w:rPr>
        <w:t>SCIROCCO Maturity Model for Integrated Care</w:t>
      </w:r>
      <w:r>
        <w:rPr>
          <w:sz w:val="20"/>
          <w:szCs w:val="20"/>
        </w:rPr>
        <w:t xml:space="preserve">. </w:t>
      </w:r>
      <w:hyperlink r:id="rId2" w:history="1">
        <w:r w:rsidRPr="00AF39DE">
          <w:rPr>
            <w:rStyle w:val="Hiperhivatkozs"/>
            <w:sz w:val="20"/>
            <w:szCs w:val="20"/>
          </w:rPr>
          <w:t>https://www.scirocco-project.eu/maturitymodel/</w:t>
        </w:r>
      </w:hyperlink>
      <w:r>
        <w:rPr>
          <w:sz w:val="20"/>
          <w:szCs w:val="20"/>
        </w:rPr>
        <w:t xml:space="preserve"> </w:t>
      </w:r>
    </w:p>
    <w:p w14:paraId="2EE59427" w14:textId="77777777" w:rsidR="009571FD" w:rsidRPr="00E030C9" w:rsidRDefault="009571FD" w:rsidP="001866BC">
      <w:pPr>
        <w:pStyle w:val="Lbjegyzetszveg"/>
        <w:rPr>
          <w:lang w:val="hu-HU"/>
        </w:rPr>
      </w:pPr>
    </w:p>
  </w:footnote>
  <w:footnote w:id="3">
    <w:p w14:paraId="1FC9993E" w14:textId="77777777" w:rsidR="009571FD" w:rsidRDefault="009571FD" w:rsidP="00DE4944">
      <w:pPr>
        <w:spacing w:after="0" w:line="240" w:lineRule="auto"/>
        <w:rPr>
          <w:sz w:val="20"/>
          <w:szCs w:val="20"/>
        </w:rPr>
      </w:pPr>
      <w:r>
        <w:rPr>
          <w:vertAlign w:val="superscript"/>
        </w:rPr>
        <w:footnoteRef/>
      </w:r>
      <w:r>
        <w:rPr>
          <w:sz w:val="20"/>
          <w:szCs w:val="20"/>
        </w:rPr>
        <w:t xml:space="preserve"> Global Digital Health Monitor.  </w:t>
      </w:r>
      <w:hyperlink r:id="rId3">
        <w:r>
          <w:rPr>
            <w:color w:val="1155CC"/>
            <w:sz w:val="20"/>
            <w:szCs w:val="20"/>
            <w:u w:val="single"/>
          </w:rPr>
          <w:t>https://digitalhealthmonitor.org/</w:t>
        </w:r>
      </w:hyperlink>
      <w:r>
        <w:rPr>
          <w:sz w:val="20"/>
          <w:szCs w:val="20"/>
        </w:rPr>
        <w:t xml:space="preserve"> </w:t>
      </w:r>
    </w:p>
  </w:footnote>
  <w:footnote w:id="4">
    <w:p w14:paraId="1408A5B3" w14:textId="77777777" w:rsidR="009571FD" w:rsidRDefault="009571FD" w:rsidP="00DE4944">
      <w:pPr>
        <w:spacing w:after="0" w:line="240" w:lineRule="auto"/>
        <w:rPr>
          <w:sz w:val="20"/>
          <w:szCs w:val="20"/>
        </w:rPr>
      </w:pPr>
      <w:r>
        <w:rPr>
          <w:vertAlign w:val="superscript"/>
        </w:rPr>
        <w:footnoteRef/>
      </w:r>
      <w:r>
        <w:rPr>
          <w:sz w:val="20"/>
          <w:szCs w:val="20"/>
        </w:rPr>
        <w:t xml:space="preserve"> Consolidated Framework for Implementation Research. </w:t>
      </w:r>
      <w:hyperlink r:id="rId4">
        <w:r>
          <w:rPr>
            <w:color w:val="1155CC"/>
            <w:sz w:val="20"/>
            <w:szCs w:val="20"/>
            <w:u w:val="single"/>
          </w:rPr>
          <w:t>https://cfirguide.org/constructs/</w:t>
        </w:r>
      </w:hyperlink>
      <w:r>
        <w:rPr>
          <w:sz w:val="20"/>
          <w:szCs w:val="20"/>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1AC3A9" w14:textId="03F7D960" w:rsidR="009571FD" w:rsidRPr="005B2C82" w:rsidRDefault="009571FD" w:rsidP="002F7A03">
    <w:pPr>
      <w:spacing w:after="0" w:line="240" w:lineRule="auto"/>
      <w:jc w:val="right"/>
      <w:rPr>
        <w:b/>
        <w:color w:val="1BC3BA"/>
        <w:sz w:val="20"/>
        <w:szCs w:val="20"/>
      </w:rPr>
    </w:pPr>
    <w:r w:rsidRPr="005B2C82">
      <w:rPr>
        <w:b/>
        <w:color w:val="1BC3BA"/>
        <w:sz w:val="20"/>
        <w:szCs w:val="20"/>
      </w:rPr>
      <w:t xml:space="preserve">Joint Thematic and Methodology Frames </w:t>
    </w:r>
    <w:r w:rsidRPr="005B2C82">
      <w:rPr>
        <w:noProof/>
        <w:sz w:val="20"/>
        <w:szCs w:val="20"/>
        <w:lang w:val="hu-HU"/>
      </w:rPr>
      <w:drawing>
        <wp:anchor distT="0" distB="0" distL="114300" distR="114300" simplePos="0" relativeHeight="251659264" behindDoc="0" locked="0" layoutInCell="1" hidden="0" allowOverlap="1" wp14:anchorId="65883404" wp14:editId="711CB604">
          <wp:simplePos x="0" y="0"/>
          <wp:positionH relativeFrom="column">
            <wp:posOffset>-1162681</wp:posOffset>
          </wp:positionH>
          <wp:positionV relativeFrom="paragraph">
            <wp:posOffset>-400970</wp:posOffset>
          </wp:positionV>
          <wp:extent cx="3824060" cy="1240732"/>
          <wp:effectExtent l="0" t="0" r="0" b="0"/>
          <wp:wrapNone/>
          <wp:docPr id="7" name="image1.png" descr="A képen szöveg, képernyőkép, Betűtípus, Acélkék látható&#10;&#10;Automatikusan generált leírás"/>
          <wp:cNvGraphicFramePr/>
          <a:graphic xmlns:a="http://schemas.openxmlformats.org/drawingml/2006/main">
            <a:graphicData uri="http://schemas.openxmlformats.org/drawingml/2006/picture">
              <pic:pic xmlns:pic="http://schemas.openxmlformats.org/drawingml/2006/picture">
                <pic:nvPicPr>
                  <pic:cNvPr id="513519803" name="image1.png" descr="A képen szöveg, képernyőkép, Betűtípus, Acélkék látható&#10;&#10;Automatikusan generált leírás"/>
                  <pic:cNvPicPr preferRelativeResize="0"/>
                </pic:nvPicPr>
                <pic:blipFill>
                  <a:blip r:embed="rId1"/>
                  <a:srcRect t="52057" r="51153"/>
                  <a:stretch>
                    <a:fillRect/>
                  </a:stretch>
                </pic:blipFill>
                <pic:spPr>
                  <a:xfrm>
                    <a:off x="0" y="0"/>
                    <a:ext cx="3824060" cy="1240732"/>
                  </a:xfrm>
                  <a:prstGeom prst="rect">
                    <a:avLst/>
                  </a:prstGeom>
                  <a:ln/>
                </pic:spPr>
              </pic:pic>
            </a:graphicData>
          </a:graphic>
        </wp:anchor>
      </w:drawing>
    </w:r>
  </w:p>
  <w:p w14:paraId="13D1267B" w14:textId="66ACEEEB" w:rsidR="009571FD" w:rsidRPr="005B2C82" w:rsidRDefault="009571FD" w:rsidP="002F7A03">
    <w:pPr>
      <w:spacing w:after="0" w:line="240" w:lineRule="auto"/>
      <w:jc w:val="right"/>
      <w:rPr>
        <w:b/>
        <w:color w:val="1BC3BA"/>
        <w:sz w:val="20"/>
        <w:szCs w:val="20"/>
      </w:rPr>
    </w:pPr>
    <w:r w:rsidRPr="005B2C82">
      <w:rPr>
        <w:b/>
        <w:color w:val="1BC3BA"/>
        <w:sz w:val="20"/>
        <w:szCs w:val="20"/>
      </w:rPr>
      <w:t>D.1.1.2</w:t>
    </w:r>
  </w:p>
  <w:p w14:paraId="47B14923" w14:textId="17294746" w:rsidR="009571FD" w:rsidRDefault="009571FD" w:rsidP="005B2C82">
    <w:pPr>
      <w:spacing w:after="0" w:line="240" w:lineRule="auto"/>
      <w:jc w:val="right"/>
      <w:rPr>
        <w:b/>
        <w:color w:val="1BC3BA"/>
        <w:sz w:val="20"/>
        <w:szCs w:val="20"/>
      </w:rPr>
    </w:pPr>
    <w:r w:rsidRPr="005B2C82">
      <w:rPr>
        <w:b/>
        <w:color w:val="1BC3BA"/>
        <w:sz w:val="20"/>
        <w:szCs w:val="20"/>
      </w:rPr>
      <w:t>DIGI4Care</w:t>
    </w:r>
  </w:p>
  <w:p w14:paraId="4CBC06A5" w14:textId="643D8E0A" w:rsidR="009571FD" w:rsidRPr="005B2C82" w:rsidRDefault="009571FD" w:rsidP="005B2C82">
    <w:pPr>
      <w:spacing w:after="0" w:line="240" w:lineRule="auto"/>
      <w:jc w:val="right"/>
      <w:rPr>
        <w:b/>
        <w:color w:val="1BC3BA"/>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335E4"/>
    <w:multiLevelType w:val="multilevel"/>
    <w:tmpl w:val="490A73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7E57E39"/>
    <w:multiLevelType w:val="multilevel"/>
    <w:tmpl w:val="F50A1328"/>
    <w:lvl w:ilvl="0">
      <w:start w:val="1"/>
      <w:numFmt w:val="decimal"/>
      <w:lvlText w:val="%1."/>
      <w:lvlJc w:val="left"/>
      <w:pPr>
        <w:ind w:left="720" w:hanging="360"/>
      </w:pPr>
      <w:rPr>
        <w:rFonts w:ascii="Times New Roman" w:hAnsi="Times New Roman" w:cs="Times New Roman" w:hint="default"/>
        <w:sz w:val="20"/>
        <w:szCs w:val="2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E0E60B0"/>
    <w:multiLevelType w:val="multilevel"/>
    <w:tmpl w:val="F27C1B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F2B0F98"/>
    <w:multiLevelType w:val="multilevel"/>
    <w:tmpl w:val="E04EAFA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0CD308E"/>
    <w:multiLevelType w:val="multilevel"/>
    <w:tmpl w:val="CB8C72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8B620E2"/>
    <w:multiLevelType w:val="hybridMultilevel"/>
    <w:tmpl w:val="71EABAFE"/>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6" w15:restartNumberingAfterBreak="0">
    <w:nsid w:val="19627AB4"/>
    <w:multiLevelType w:val="multilevel"/>
    <w:tmpl w:val="34F2B4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2FDA67F7"/>
    <w:multiLevelType w:val="multilevel"/>
    <w:tmpl w:val="8D209700"/>
    <w:lvl w:ilvl="0">
      <w:start w:val="1"/>
      <w:numFmt w:val="decimal"/>
      <w:lvlText w:val="%1."/>
      <w:lvlJc w:val="left"/>
      <w:pPr>
        <w:ind w:left="720" w:hanging="360"/>
      </w:pPr>
    </w:lvl>
    <w:lvl w:ilvl="1">
      <w:start w:val="1"/>
      <w:numFmt w:val="decimal"/>
      <w:lvlText w:val="%1.%2"/>
      <w:lvlJc w:val="left"/>
      <w:pPr>
        <w:ind w:left="1080" w:hanging="720"/>
      </w:p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800" w:hanging="1440"/>
      </w:pPr>
    </w:lvl>
    <w:lvl w:ilvl="5">
      <w:start w:val="1"/>
      <w:numFmt w:val="decimal"/>
      <w:lvlText w:val="%1.%2.%3.%4.%5.%6"/>
      <w:lvlJc w:val="left"/>
      <w:pPr>
        <w:ind w:left="1800" w:hanging="1440"/>
      </w:pPr>
    </w:lvl>
    <w:lvl w:ilvl="6">
      <w:start w:val="1"/>
      <w:numFmt w:val="decimal"/>
      <w:lvlText w:val="%1.%2.%3.%4.%5.%6.%7"/>
      <w:lvlJc w:val="left"/>
      <w:pPr>
        <w:ind w:left="2160" w:hanging="1800"/>
      </w:pPr>
    </w:lvl>
    <w:lvl w:ilvl="7">
      <w:start w:val="1"/>
      <w:numFmt w:val="decimal"/>
      <w:lvlText w:val="%1.%2.%3.%4.%5.%6.%7.%8"/>
      <w:lvlJc w:val="left"/>
      <w:pPr>
        <w:ind w:left="2520" w:hanging="2160"/>
      </w:pPr>
    </w:lvl>
    <w:lvl w:ilvl="8">
      <w:start w:val="1"/>
      <w:numFmt w:val="decimal"/>
      <w:lvlText w:val="%1.%2.%3.%4.%5.%6.%7.%8.%9"/>
      <w:lvlJc w:val="left"/>
      <w:pPr>
        <w:ind w:left="2520" w:hanging="2160"/>
      </w:pPr>
    </w:lvl>
  </w:abstractNum>
  <w:abstractNum w:abstractNumId="8" w15:restartNumberingAfterBreak="0">
    <w:nsid w:val="30D3445E"/>
    <w:multiLevelType w:val="multilevel"/>
    <w:tmpl w:val="22BCD7C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38A023C3"/>
    <w:multiLevelType w:val="multilevel"/>
    <w:tmpl w:val="743202E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4396114F"/>
    <w:multiLevelType w:val="multilevel"/>
    <w:tmpl w:val="8ADCAA8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4B6C355B"/>
    <w:multiLevelType w:val="multilevel"/>
    <w:tmpl w:val="433015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4F6D3F76"/>
    <w:multiLevelType w:val="multilevel"/>
    <w:tmpl w:val="9EB410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5BB44028"/>
    <w:multiLevelType w:val="multilevel"/>
    <w:tmpl w:val="F5E28DAC"/>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5C3B0B5F"/>
    <w:multiLevelType w:val="multilevel"/>
    <w:tmpl w:val="DB2CE6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5FFA4DE1"/>
    <w:multiLevelType w:val="multilevel"/>
    <w:tmpl w:val="D9C053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6A190939"/>
    <w:multiLevelType w:val="multilevel"/>
    <w:tmpl w:val="EDC68D08"/>
    <w:lvl w:ilvl="0">
      <w:start w:val="5"/>
      <w:numFmt w:val="decimal"/>
      <w:lvlText w:val="%1."/>
      <w:lvlJc w:val="left"/>
      <w:pPr>
        <w:ind w:left="500" w:hanging="500"/>
      </w:pPr>
    </w:lvl>
    <w:lvl w:ilvl="1">
      <w:start w:val="2"/>
      <w:numFmt w:val="decimal"/>
      <w:lvlText w:val="%1.%2."/>
      <w:lvlJc w:val="left"/>
      <w:pPr>
        <w:ind w:left="720" w:hanging="720"/>
      </w:pPr>
    </w:lvl>
    <w:lvl w:ilvl="2">
      <w:start w:val="1"/>
      <w:numFmt w:val="decimal"/>
      <w:lvlText w:val="%1.%2.%3."/>
      <w:lvlJc w:val="left"/>
      <w:pPr>
        <w:ind w:left="1080" w:hanging="108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1800" w:hanging="1800"/>
      </w:pPr>
    </w:lvl>
    <w:lvl w:ilvl="7">
      <w:start w:val="1"/>
      <w:numFmt w:val="decimal"/>
      <w:lvlText w:val="%1.%2.%3.%4.%5.%6.%7.%8."/>
      <w:lvlJc w:val="left"/>
      <w:pPr>
        <w:ind w:left="2160" w:hanging="2160"/>
      </w:pPr>
    </w:lvl>
    <w:lvl w:ilvl="8">
      <w:start w:val="1"/>
      <w:numFmt w:val="decimal"/>
      <w:lvlText w:val="%1.%2.%3.%4.%5.%6.%7.%8.%9."/>
      <w:lvlJc w:val="left"/>
      <w:pPr>
        <w:ind w:left="2520" w:hanging="2520"/>
      </w:pPr>
    </w:lvl>
  </w:abstractNum>
  <w:abstractNum w:abstractNumId="17" w15:restartNumberingAfterBreak="0">
    <w:nsid w:val="6D4F4B8A"/>
    <w:multiLevelType w:val="multilevel"/>
    <w:tmpl w:val="7AAED3E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7B3875DE"/>
    <w:multiLevelType w:val="multilevel"/>
    <w:tmpl w:val="32CE67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7F4672D2"/>
    <w:multiLevelType w:val="multilevel"/>
    <w:tmpl w:val="695A2A2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18"/>
  </w:num>
  <w:num w:numId="3">
    <w:abstractNumId w:val="0"/>
  </w:num>
  <w:num w:numId="4">
    <w:abstractNumId w:val="7"/>
  </w:num>
  <w:num w:numId="5">
    <w:abstractNumId w:val="8"/>
  </w:num>
  <w:num w:numId="6">
    <w:abstractNumId w:val="11"/>
  </w:num>
  <w:num w:numId="7">
    <w:abstractNumId w:val="2"/>
  </w:num>
  <w:num w:numId="8">
    <w:abstractNumId w:val="3"/>
  </w:num>
  <w:num w:numId="9">
    <w:abstractNumId w:val="14"/>
  </w:num>
  <w:num w:numId="10">
    <w:abstractNumId w:val="16"/>
  </w:num>
  <w:num w:numId="11">
    <w:abstractNumId w:val="17"/>
  </w:num>
  <w:num w:numId="12">
    <w:abstractNumId w:val="10"/>
  </w:num>
  <w:num w:numId="13">
    <w:abstractNumId w:val="4"/>
  </w:num>
  <w:num w:numId="14">
    <w:abstractNumId w:val="6"/>
  </w:num>
  <w:num w:numId="15">
    <w:abstractNumId w:val="15"/>
  </w:num>
  <w:num w:numId="16">
    <w:abstractNumId w:val="12"/>
  </w:num>
  <w:num w:numId="17">
    <w:abstractNumId w:val="19"/>
  </w:num>
  <w:num w:numId="18">
    <w:abstractNumId w:val="9"/>
  </w:num>
  <w:num w:numId="19">
    <w:abstractNumId w:val="5"/>
  </w:num>
  <w:num w:numId="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2104"/>
    <w:rsid w:val="00017655"/>
    <w:rsid w:val="000376DA"/>
    <w:rsid w:val="00040902"/>
    <w:rsid w:val="0005002D"/>
    <w:rsid w:val="00093F79"/>
    <w:rsid w:val="000970B6"/>
    <w:rsid w:val="001669A5"/>
    <w:rsid w:val="0017222E"/>
    <w:rsid w:val="0017293D"/>
    <w:rsid w:val="001752D6"/>
    <w:rsid w:val="001866BC"/>
    <w:rsid w:val="001A3A01"/>
    <w:rsid w:val="001D3E57"/>
    <w:rsid w:val="001F772F"/>
    <w:rsid w:val="002200C2"/>
    <w:rsid w:val="00233DBB"/>
    <w:rsid w:val="00236BF0"/>
    <w:rsid w:val="00257633"/>
    <w:rsid w:val="00292FD2"/>
    <w:rsid w:val="002A1141"/>
    <w:rsid w:val="002B1CCB"/>
    <w:rsid w:val="002D2970"/>
    <w:rsid w:val="002E0092"/>
    <w:rsid w:val="002F7A03"/>
    <w:rsid w:val="0032219C"/>
    <w:rsid w:val="00347BDA"/>
    <w:rsid w:val="003636DA"/>
    <w:rsid w:val="00385636"/>
    <w:rsid w:val="003A1A0F"/>
    <w:rsid w:val="003C1592"/>
    <w:rsid w:val="003D54E7"/>
    <w:rsid w:val="003E27CC"/>
    <w:rsid w:val="003E5006"/>
    <w:rsid w:val="003E55CB"/>
    <w:rsid w:val="003E6837"/>
    <w:rsid w:val="0040646C"/>
    <w:rsid w:val="00443A3A"/>
    <w:rsid w:val="00476638"/>
    <w:rsid w:val="00476BBE"/>
    <w:rsid w:val="00491578"/>
    <w:rsid w:val="004926E0"/>
    <w:rsid w:val="004B27D1"/>
    <w:rsid w:val="00543DC6"/>
    <w:rsid w:val="00554D76"/>
    <w:rsid w:val="005B2C82"/>
    <w:rsid w:val="005B7A3E"/>
    <w:rsid w:val="005E7EEA"/>
    <w:rsid w:val="005F3217"/>
    <w:rsid w:val="005F3556"/>
    <w:rsid w:val="00626AAF"/>
    <w:rsid w:val="006348D0"/>
    <w:rsid w:val="00692390"/>
    <w:rsid w:val="006B0A4D"/>
    <w:rsid w:val="006C1BEB"/>
    <w:rsid w:val="006C241B"/>
    <w:rsid w:val="006F03E2"/>
    <w:rsid w:val="00732F3A"/>
    <w:rsid w:val="00753360"/>
    <w:rsid w:val="007547A2"/>
    <w:rsid w:val="00756038"/>
    <w:rsid w:val="0076007D"/>
    <w:rsid w:val="00765ADF"/>
    <w:rsid w:val="00774955"/>
    <w:rsid w:val="00775099"/>
    <w:rsid w:val="00791722"/>
    <w:rsid w:val="007B5EE0"/>
    <w:rsid w:val="007C1C74"/>
    <w:rsid w:val="007E6956"/>
    <w:rsid w:val="00811E26"/>
    <w:rsid w:val="008520D7"/>
    <w:rsid w:val="00871624"/>
    <w:rsid w:val="00876B67"/>
    <w:rsid w:val="00881784"/>
    <w:rsid w:val="00890F54"/>
    <w:rsid w:val="008C1484"/>
    <w:rsid w:val="00922F87"/>
    <w:rsid w:val="009355B6"/>
    <w:rsid w:val="009429D9"/>
    <w:rsid w:val="00955282"/>
    <w:rsid w:val="009571FD"/>
    <w:rsid w:val="009725F8"/>
    <w:rsid w:val="00985374"/>
    <w:rsid w:val="00997B1F"/>
    <w:rsid w:val="009B13F5"/>
    <w:rsid w:val="009B5048"/>
    <w:rsid w:val="009F735C"/>
    <w:rsid w:val="00A00E35"/>
    <w:rsid w:val="00A01DF8"/>
    <w:rsid w:val="00A1649B"/>
    <w:rsid w:val="00A26788"/>
    <w:rsid w:val="00A34749"/>
    <w:rsid w:val="00A43412"/>
    <w:rsid w:val="00A57D41"/>
    <w:rsid w:val="00A7567F"/>
    <w:rsid w:val="00A96F88"/>
    <w:rsid w:val="00AB3E32"/>
    <w:rsid w:val="00AC348D"/>
    <w:rsid w:val="00AD00E0"/>
    <w:rsid w:val="00AF0147"/>
    <w:rsid w:val="00AF7001"/>
    <w:rsid w:val="00B051F9"/>
    <w:rsid w:val="00B46979"/>
    <w:rsid w:val="00B50911"/>
    <w:rsid w:val="00B6266E"/>
    <w:rsid w:val="00BA3116"/>
    <w:rsid w:val="00BA5B79"/>
    <w:rsid w:val="00BA7394"/>
    <w:rsid w:val="00BB5ACF"/>
    <w:rsid w:val="00BF41A2"/>
    <w:rsid w:val="00C0700C"/>
    <w:rsid w:val="00C27DF4"/>
    <w:rsid w:val="00C60B89"/>
    <w:rsid w:val="00C70523"/>
    <w:rsid w:val="00C72EC5"/>
    <w:rsid w:val="00C74BCA"/>
    <w:rsid w:val="00C7604A"/>
    <w:rsid w:val="00C836B0"/>
    <w:rsid w:val="00C9636D"/>
    <w:rsid w:val="00CB5E95"/>
    <w:rsid w:val="00CD3526"/>
    <w:rsid w:val="00CE2764"/>
    <w:rsid w:val="00CF2104"/>
    <w:rsid w:val="00D05254"/>
    <w:rsid w:val="00D23464"/>
    <w:rsid w:val="00D32E66"/>
    <w:rsid w:val="00D47643"/>
    <w:rsid w:val="00D70453"/>
    <w:rsid w:val="00D734F8"/>
    <w:rsid w:val="00D91F15"/>
    <w:rsid w:val="00D962A1"/>
    <w:rsid w:val="00DA3D7E"/>
    <w:rsid w:val="00DC5830"/>
    <w:rsid w:val="00DC5F82"/>
    <w:rsid w:val="00DE4944"/>
    <w:rsid w:val="00DF53BE"/>
    <w:rsid w:val="00E030C9"/>
    <w:rsid w:val="00E413E9"/>
    <w:rsid w:val="00E62717"/>
    <w:rsid w:val="00E76CFF"/>
    <w:rsid w:val="00EA304D"/>
    <w:rsid w:val="00EA3A52"/>
    <w:rsid w:val="00EB249B"/>
    <w:rsid w:val="00EC17BA"/>
    <w:rsid w:val="00EC1F6B"/>
    <w:rsid w:val="00ED0FF3"/>
    <w:rsid w:val="00FB4987"/>
    <w:rsid w:val="00FC4CF9"/>
  </w:rsids>
  <m:mathPr>
    <m:mathFont m:val="Cambria Math"/>
    <m:brkBin m:val="before"/>
    <m:brkBinSub m:val="--"/>
    <m:smallFrac m:val="0"/>
    <m:dispDef/>
    <m:lMargin m:val="0"/>
    <m:rMargin m:val="0"/>
    <m:defJc m:val="centerGroup"/>
    <m:wrapIndent m:val="1440"/>
    <m:intLim m:val="subSup"/>
    <m:naryLim m:val="undOvr"/>
  </m:mathPr>
  <w:themeFontLang w:val="hu-HU"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AB9BC4"/>
  <w15:docId w15:val="{EC35FFA7-E412-4FE9-BE59-F5B7404AF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ptos" w:eastAsia="Aptos" w:hAnsi="Aptos" w:cs="Aptos"/>
        <w:sz w:val="24"/>
        <w:szCs w:val="24"/>
        <w:lang w:val="en-GB" w:eastAsia="hu-HU" w:bidi="ar-SA"/>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5157A9"/>
  </w:style>
  <w:style w:type="paragraph" w:styleId="Cmsor1">
    <w:name w:val="heading 1"/>
    <w:basedOn w:val="Norml"/>
    <w:next w:val="Norml"/>
    <w:link w:val="Cmsor1Char"/>
    <w:uiPriority w:val="9"/>
    <w:qFormat/>
    <w:rsid w:val="004B7DEF"/>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Cmsor2">
    <w:name w:val="heading 2"/>
    <w:basedOn w:val="Norml"/>
    <w:next w:val="Norml"/>
    <w:link w:val="Cmsor2Char"/>
    <w:uiPriority w:val="9"/>
    <w:unhideWhenUsed/>
    <w:qFormat/>
    <w:rsid w:val="004B7DEF"/>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Cmsor3">
    <w:name w:val="heading 3"/>
    <w:basedOn w:val="Norml"/>
    <w:next w:val="Norml"/>
    <w:link w:val="Cmsor3Char"/>
    <w:uiPriority w:val="9"/>
    <w:unhideWhenUsed/>
    <w:qFormat/>
    <w:rsid w:val="004B7DEF"/>
    <w:pPr>
      <w:keepNext/>
      <w:keepLines/>
      <w:spacing w:before="160" w:after="80"/>
      <w:outlineLvl w:val="2"/>
    </w:pPr>
    <w:rPr>
      <w:rFonts w:eastAsiaTheme="majorEastAsia" w:cstheme="majorBidi"/>
      <w:color w:val="2E74B5" w:themeColor="accent1" w:themeShade="BF"/>
      <w:sz w:val="28"/>
      <w:szCs w:val="28"/>
    </w:rPr>
  </w:style>
  <w:style w:type="paragraph" w:styleId="Cmsor4">
    <w:name w:val="heading 4"/>
    <w:basedOn w:val="Norml"/>
    <w:next w:val="Norml"/>
    <w:link w:val="Cmsor4Char"/>
    <w:uiPriority w:val="9"/>
    <w:semiHidden/>
    <w:unhideWhenUsed/>
    <w:qFormat/>
    <w:rsid w:val="004B7DEF"/>
    <w:pPr>
      <w:keepNext/>
      <w:keepLines/>
      <w:spacing w:before="80" w:after="40"/>
      <w:outlineLvl w:val="3"/>
    </w:pPr>
    <w:rPr>
      <w:rFonts w:eastAsiaTheme="majorEastAsia" w:cstheme="majorBidi"/>
      <w:i/>
      <w:iCs/>
      <w:color w:val="2E74B5" w:themeColor="accent1" w:themeShade="BF"/>
    </w:rPr>
  </w:style>
  <w:style w:type="paragraph" w:styleId="Cmsor5">
    <w:name w:val="heading 5"/>
    <w:basedOn w:val="Norml"/>
    <w:next w:val="Norml"/>
    <w:link w:val="Cmsor5Char"/>
    <w:uiPriority w:val="9"/>
    <w:semiHidden/>
    <w:unhideWhenUsed/>
    <w:qFormat/>
    <w:rsid w:val="004B7DEF"/>
    <w:pPr>
      <w:keepNext/>
      <w:keepLines/>
      <w:spacing w:before="80" w:after="40"/>
      <w:outlineLvl w:val="4"/>
    </w:pPr>
    <w:rPr>
      <w:rFonts w:eastAsiaTheme="majorEastAsia" w:cstheme="majorBidi"/>
      <w:color w:val="2E74B5" w:themeColor="accent1" w:themeShade="BF"/>
    </w:rPr>
  </w:style>
  <w:style w:type="paragraph" w:styleId="Cmsor6">
    <w:name w:val="heading 6"/>
    <w:basedOn w:val="Norml"/>
    <w:next w:val="Norml"/>
    <w:link w:val="Cmsor6Char"/>
    <w:uiPriority w:val="9"/>
    <w:semiHidden/>
    <w:unhideWhenUsed/>
    <w:qFormat/>
    <w:rsid w:val="004B7DEF"/>
    <w:pPr>
      <w:keepNext/>
      <w:keepLines/>
      <w:spacing w:before="40" w:after="0"/>
      <w:outlineLvl w:val="5"/>
    </w:pPr>
    <w:rPr>
      <w:rFonts w:eastAsiaTheme="majorEastAsia" w:cstheme="majorBidi"/>
      <w:i/>
      <w:iCs/>
      <w:color w:val="595959" w:themeColor="text1" w:themeTint="A6"/>
    </w:rPr>
  </w:style>
  <w:style w:type="paragraph" w:styleId="Cmsor7">
    <w:name w:val="heading 7"/>
    <w:basedOn w:val="Norml"/>
    <w:next w:val="Norml"/>
    <w:link w:val="Cmsor7Char"/>
    <w:uiPriority w:val="9"/>
    <w:semiHidden/>
    <w:unhideWhenUsed/>
    <w:qFormat/>
    <w:rsid w:val="004B7DEF"/>
    <w:pPr>
      <w:keepNext/>
      <w:keepLines/>
      <w:spacing w:before="40" w:after="0"/>
      <w:outlineLvl w:val="6"/>
    </w:pPr>
    <w:rPr>
      <w:rFonts w:eastAsiaTheme="majorEastAsia" w:cstheme="majorBidi"/>
      <w:color w:val="595959" w:themeColor="text1" w:themeTint="A6"/>
    </w:rPr>
  </w:style>
  <w:style w:type="paragraph" w:styleId="Cmsor8">
    <w:name w:val="heading 8"/>
    <w:basedOn w:val="Norml"/>
    <w:next w:val="Norml"/>
    <w:link w:val="Cmsor8Char"/>
    <w:uiPriority w:val="9"/>
    <w:semiHidden/>
    <w:unhideWhenUsed/>
    <w:qFormat/>
    <w:rsid w:val="004B7DEF"/>
    <w:pPr>
      <w:keepNext/>
      <w:keepLines/>
      <w:spacing w:after="0"/>
      <w:outlineLvl w:val="7"/>
    </w:pPr>
    <w:rPr>
      <w:rFonts w:eastAsiaTheme="majorEastAsia" w:cstheme="majorBidi"/>
      <w:i/>
      <w:iCs/>
      <w:color w:val="272727" w:themeColor="text1" w:themeTint="D8"/>
    </w:rPr>
  </w:style>
  <w:style w:type="paragraph" w:styleId="Cmsor9">
    <w:name w:val="heading 9"/>
    <w:basedOn w:val="Norml"/>
    <w:next w:val="Norml"/>
    <w:link w:val="Cmsor9Char"/>
    <w:uiPriority w:val="9"/>
    <w:semiHidden/>
    <w:unhideWhenUsed/>
    <w:qFormat/>
    <w:rsid w:val="004B7DEF"/>
    <w:pPr>
      <w:keepNext/>
      <w:keepLines/>
      <w:spacing w:after="0"/>
      <w:outlineLvl w:val="8"/>
    </w:pPr>
    <w:rPr>
      <w:rFonts w:eastAsiaTheme="majorEastAsia" w:cstheme="majorBidi"/>
      <w:color w:val="272727" w:themeColor="text1" w:themeTint="D8"/>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Cm">
    <w:name w:val="Title"/>
    <w:basedOn w:val="Norml"/>
    <w:next w:val="Norml"/>
    <w:link w:val="CmChar"/>
    <w:uiPriority w:val="10"/>
    <w:qFormat/>
    <w:rsid w:val="004B7DE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msor1Char">
    <w:name w:val="Címsor 1 Char"/>
    <w:basedOn w:val="Bekezdsalapbettpusa"/>
    <w:link w:val="Cmsor1"/>
    <w:uiPriority w:val="9"/>
    <w:rsid w:val="004B7DEF"/>
    <w:rPr>
      <w:rFonts w:asciiTheme="majorHAnsi" w:eastAsiaTheme="majorEastAsia" w:hAnsiTheme="majorHAnsi" w:cstheme="majorBidi"/>
      <w:color w:val="2E74B5" w:themeColor="accent1" w:themeShade="BF"/>
      <w:sz w:val="40"/>
      <w:szCs w:val="40"/>
    </w:rPr>
  </w:style>
  <w:style w:type="character" w:customStyle="1" w:styleId="Cmsor2Char">
    <w:name w:val="Címsor 2 Char"/>
    <w:basedOn w:val="Bekezdsalapbettpusa"/>
    <w:link w:val="Cmsor2"/>
    <w:uiPriority w:val="9"/>
    <w:rsid w:val="004B7DEF"/>
    <w:rPr>
      <w:rFonts w:asciiTheme="majorHAnsi" w:eastAsiaTheme="majorEastAsia" w:hAnsiTheme="majorHAnsi" w:cstheme="majorBidi"/>
      <w:color w:val="2E74B5" w:themeColor="accent1" w:themeShade="BF"/>
      <w:sz w:val="32"/>
      <w:szCs w:val="32"/>
    </w:rPr>
  </w:style>
  <w:style w:type="character" w:customStyle="1" w:styleId="Cmsor3Char">
    <w:name w:val="Címsor 3 Char"/>
    <w:basedOn w:val="Bekezdsalapbettpusa"/>
    <w:link w:val="Cmsor3"/>
    <w:uiPriority w:val="9"/>
    <w:rsid w:val="004B7DEF"/>
    <w:rPr>
      <w:rFonts w:eastAsiaTheme="majorEastAsia" w:cstheme="majorBidi"/>
      <w:color w:val="2E74B5" w:themeColor="accent1" w:themeShade="BF"/>
      <w:sz w:val="28"/>
      <w:szCs w:val="28"/>
    </w:rPr>
  </w:style>
  <w:style w:type="character" w:customStyle="1" w:styleId="Cmsor4Char">
    <w:name w:val="Címsor 4 Char"/>
    <w:basedOn w:val="Bekezdsalapbettpusa"/>
    <w:link w:val="Cmsor4"/>
    <w:uiPriority w:val="9"/>
    <w:semiHidden/>
    <w:rsid w:val="004B7DEF"/>
    <w:rPr>
      <w:rFonts w:eastAsiaTheme="majorEastAsia" w:cstheme="majorBidi"/>
      <w:i/>
      <w:iCs/>
      <w:color w:val="2E74B5" w:themeColor="accent1" w:themeShade="BF"/>
    </w:rPr>
  </w:style>
  <w:style w:type="character" w:customStyle="1" w:styleId="Cmsor5Char">
    <w:name w:val="Címsor 5 Char"/>
    <w:basedOn w:val="Bekezdsalapbettpusa"/>
    <w:link w:val="Cmsor5"/>
    <w:uiPriority w:val="9"/>
    <w:semiHidden/>
    <w:rsid w:val="004B7DEF"/>
    <w:rPr>
      <w:rFonts w:eastAsiaTheme="majorEastAsia" w:cstheme="majorBidi"/>
      <w:color w:val="2E74B5" w:themeColor="accent1" w:themeShade="BF"/>
    </w:rPr>
  </w:style>
  <w:style w:type="character" w:customStyle="1" w:styleId="Cmsor6Char">
    <w:name w:val="Címsor 6 Char"/>
    <w:basedOn w:val="Bekezdsalapbettpusa"/>
    <w:link w:val="Cmsor6"/>
    <w:uiPriority w:val="9"/>
    <w:semiHidden/>
    <w:rsid w:val="004B7DEF"/>
    <w:rPr>
      <w:rFonts w:eastAsiaTheme="majorEastAsia" w:cstheme="majorBidi"/>
      <w:i/>
      <w:iCs/>
      <w:color w:val="595959" w:themeColor="text1" w:themeTint="A6"/>
    </w:rPr>
  </w:style>
  <w:style w:type="character" w:customStyle="1" w:styleId="Cmsor7Char">
    <w:name w:val="Címsor 7 Char"/>
    <w:basedOn w:val="Bekezdsalapbettpusa"/>
    <w:link w:val="Cmsor7"/>
    <w:uiPriority w:val="9"/>
    <w:semiHidden/>
    <w:rsid w:val="004B7DEF"/>
    <w:rPr>
      <w:rFonts w:eastAsiaTheme="majorEastAsia" w:cstheme="majorBidi"/>
      <w:color w:val="595959" w:themeColor="text1" w:themeTint="A6"/>
    </w:rPr>
  </w:style>
  <w:style w:type="character" w:customStyle="1" w:styleId="Cmsor8Char">
    <w:name w:val="Címsor 8 Char"/>
    <w:basedOn w:val="Bekezdsalapbettpusa"/>
    <w:link w:val="Cmsor8"/>
    <w:uiPriority w:val="9"/>
    <w:semiHidden/>
    <w:rsid w:val="004B7DEF"/>
    <w:rPr>
      <w:rFonts w:eastAsiaTheme="majorEastAsia" w:cstheme="majorBidi"/>
      <w:i/>
      <w:iCs/>
      <w:color w:val="272727" w:themeColor="text1" w:themeTint="D8"/>
    </w:rPr>
  </w:style>
  <w:style w:type="character" w:customStyle="1" w:styleId="Cmsor9Char">
    <w:name w:val="Címsor 9 Char"/>
    <w:basedOn w:val="Bekezdsalapbettpusa"/>
    <w:link w:val="Cmsor9"/>
    <w:uiPriority w:val="9"/>
    <w:semiHidden/>
    <w:rsid w:val="004B7DEF"/>
    <w:rPr>
      <w:rFonts w:eastAsiaTheme="majorEastAsia" w:cstheme="majorBidi"/>
      <w:color w:val="272727" w:themeColor="text1" w:themeTint="D8"/>
    </w:rPr>
  </w:style>
  <w:style w:type="character" w:customStyle="1" w:styleId="CmChar">
    <w:name w:val="Cím Char"/>
    <w:basedOn w:val="Bekezdsalapbettpusa"/>
    <w:link w:val="Cm"/>
    <w:uiPriority w:val="10"/>
    <w:rsid w:val="004B7DEF"/>
    <w:rPr>
      <w:rFonts w:asciiTheme="majorHAnsi" w:eastAsiaTheme="majorEastAsia" w:hAnsiTheme="majorHAnsi" w:cstheme="majorBidi"/>
      <w:spacing w:val="-10"/>
      <w:kern w:val="28"/>
      <w:sz w:val="56"/>
      <w:szCs w:val="56"/>
    </w:rPr>
  </w:style>
  <w:style w:type="paragraph" w:styleId="Alcm">
    <w:name w:val="Subtitle"/>
    <w:basedOn w:val="Norml"/>
    <w:next w:val="Norml"/>
    <w:link w:val="AlcmChar"/>
    <w:rPr>
      <w:color w:val="595959"/>
      <w:sz w:val="28"/>
      <w:szCs w:val="28"/>
    </w:rPr>
  </w:style>
  <w:style w:type="character" w:customStyle="1" w:styleId="AlcmChar">
    <w:name w:val="Alcím Char"/>
    <w:basedOn w:val="Bekezdsalapbettpusa"/>
    <w:link w:val="Alcm"/>
    <w:uiPriority w:val="11"/>
    <w:rsid w:val="004B7DEF"/>
    <w:rPr>
      <w:rFonts w:eastAsiaTheme="majorEastAsia" w:cstheme="majorBidi"/>
      <w:color w:val="595959" w:themeColor="text1" w:themeTint="A6"/>
      <w:spacing w:val="15"/>
      <w:sz w:val="28"/>
      <w:szCs w:val="28"/>
    </w:rPr>
  </w:style>
  <w:style w:type="paragraph" w:styleId="Idzet">
    <w:name w:val="Quote"/>
    <w:basedOn w:val="Norml"/>
    <w:next w:val="Norml"/>
    <w:link w:val="IdzetChar"/>
    <w:uiPriority w:val="29"/>
    <w:qFormat/>
    <w:rsid w:val="004B7DEF"/>
    <w:pPr>
      <w:spacing w:before="160"/>
      <w:jc w:val="center"/>
    </w:pPr>
    <w:rPr>
      <w:i/>
      <w:iCs/>
      <w:color w:val="404040" w:themeColor="text1" w:themeTint="BF"/>
    </w:rPr>
  </w:style>
  <w:style w:type="character" w:customStyle="1" w:styleId="IdzetChar">
    <w:name w:val="Idézet Char"/>
    <w:basedOn w:val="Bekezdsalapbettpusa"/>
    <w:link w:val="Idzet"/>
    <w:uiPriority w:val="29"/>
    <w:rsid w:val="004B7DEF"/>
    <w:rPr>
      <w:i/>
      <w:iCs/>
      <w:color w:val="404040" w:themeColor="text1" w:themeTint="BF"/>
    </w:rPr>
  </w:style>
  <w:style w:type="paragraph" w:styleId="Listaszerbekezds">
    <w:name w:val="List Paragraph"/>
    <w:basedOn w:val="Norml"/>
    <w:uiPriority w:val="34"/>
    <w:qFormat/>
    <w:rsid w:val="004B7DEF"/>
    <w:pPr>
      <w:ind w:left="720"/>
      <w:contextualSpacing/>
    </w:pPr>
  </w:style>
  <w:style w:type="character" w:styleId="Erskiemels">
    <w:name w:val="Intense Emphasis"/>
    <w:basedOn w:val="Bekezdsalapbettpusa"/>
    <w:uiPriority w:val="21"/>
    <w:qFormat/>
    <w:rsid w:val="004B7DEF"/>
    <w:rPr>
      <w:i/>
      <w:iCs/>
      <w:color w:val="2E74B5" w:themeColor="accent1" w:themeShade="BF"/>
    </w:rPr>
  </w:style>
  <w:style w:type="paragraph" w:styleId="Kiemeltidzet">
    <w:name w:val="Intense Quote"/>
    <w:basedOn w:val="Norml"/>
    <w:next w:val="Norml"/>
    <w:link w:val="KiemeltidzetChar"/>
    <w:uiPriority w:val="30"/>
    <w:qFormat/>
    <w:rsid w:val="004B7DEF"/>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KiemeltidzetChar">
    <w:name w:val="Kiemelt idézet Char"/>
    <w:basedOn w:val="Bekezdsalapbettpusa"/>
    <w:link w:val="Kiemeltidzet"/>
    <w:uiPriority w:val="30"/>
    <w:rsid w:val="004B7DEF"/>
    <w:rPr>
      <w:i/>
      <w:iCs/>
      <w:color w:val="2E74B5" w:themeColor="accent1" w:themeShade="BF"/>
    </w:rPr>
  </w:style>
  <w:style w:type="character" w:styleId="Ershivatkozs">
    <w:name w:val="Intense Reference"/>
    <w:basedOn w:val="Bekezdsalapbettpusa"/>
    <w:uiPriority w:val="32"/>
    <w:qFormat/>
    <w:rsid w:val="004B7DEF"/>
    <w:rPr>
      <w:b/>
      <w:bCs/>
      <w:smallCaps/>
      <w:color w:val="2E74B5" w:themeColor="accent1" w:themeShade="BF"/>
      <w:spacing w:val="5"/>
    </w:rPr>
  </w:style>
  <w:style w:type="table" w:styleId="Rcsostblzat">
    <w:name w:val="Table Grid"/>
    <w:basedOn w:val="Normltblzat"/>
    <w:uiPriority w:val="39"/>
    <w:rsid w:val="007131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Jegyzethivatkozs">
    <w:name w:val="annotation reference"/>
    <w:basedOn w:val="Bekezdsalapbettpusa"/>
    <w:uiPriority w:val="99"/>
    <w:semiHidden/>
    <w:unhideWhenUsed/>
    <w:rsid w:val="0071313A"/>
    <w:rPr>
      <w:sz w:val="16"/>
      <w:szCs w:val="16"/>
    </w:rPr>
  </w:style>
  <w:style w:type="paragraph" w:styleId="Jegyzetszveg">
    <w:name w:val="annotation text"/>
    <w:basedOn w:val="Norml"/>
    <w:link w:val="JegyzetszvegChar"/>
    <w:uiPriority w:val="99"/>
    <w:unhideWhenUsed/>
    <w:rsid w:val="0071313A"/>
    <w:pPr>
      <w:spacing w:line="240" w:lineRule="auto"/>
    </w:pPr>
    <w:rPr>
      <w:sz w:val="20"/>
      <w:szCs w:val="20"/>
    </w:rPr>
  </w:style>
  <w:style w:type="character" w:customStyle="1" w:styleId="JegyzetszvegChar">
    <w:name w:val="Jegyzetszöveg Char"/>
    <w:basedOn w:val="Bekezdsalapbettpusa"/>
    <w:link w:val="Jegyzetszveg"/>
    <w:uiPriority w:val="99"/>
    <w:rsid w:val="0071313A"/>
    <w:rPr>
      <w:sz w:val="20"/>
      <w:szCs w:val="20"/>
    </w:rPr>
  </w:style>
  <w:style w:type="paragraph" w:styleId="Megjegyzstrgya">
    <w:name w:val="annotation subject"/>
    <w:basedOn w:val="Jegyzetszveg"/>
    <w:next w:val="Jegyzetszveg"/>
    <w:link w:val="MegjegyzstrgyaChar"/>
    <w:uiPriority w:val="99"/>
    <w:semiHidden/>
    <w:unhideWhenUsed/>
    <w:rsid w:val="0071313A"/>
    <w:rPr>
      <w:b/>
      <w:bCs/>
    </w:rPr>
  </w:style>
  <w:style w:type="character" w:customStyle="1" w:styleId="MegjegyzstrgyaChar">
    <w:name w:val="Megjegyzés tárgya Char"/>
    <w:basedOn w:val="JegyzetszvegChar"/>
    <w:link w:val="Megjegyzstrgya"/>
    <w:uiPriority w:val="99"/>
    <w:semiHidden/>
    <w:rsid w:val="0071313A"/>
    <w:rPr>
      <w:b/>
      <w:bCs/>
      <w:sz w:val="20"/>
      <w:szCs w:val="20"/>
    </w:rPr>
  </w:style>
  <w:style w:type="character" w:styleId="Hiperhivatkozs">
    <w:name w:val="Hyperlink"/>
    <w:basedOn w:val="Bekezdsalapbettpusa"/>
    <w:uiPriority w:val="99"/>
    <w:unhideWhenUsed/>
    <w:rsid w:val="00E957BE"/>
    <w:rPr>
      <w:color w:val="0563C1" w:themeColor="hyperlink"/>
      <w:u w:val="single"/>
    </w:rPr>
  </w:style>
  <w:style w:type="paragraph" w:styleId="Kpalrs">
    <w:name w:val="caption"/>
    <w:basedOn w:val="Norml"/>
    <w:next w:val="Norml"/>
    <w:uiPriority w:val="35"/>
    <w:unhideWhenUsed/>
    <w:qFormat/>
    <w:rsid w:val="00C91F45"/>
    <w:pPr>
      <w:spacing w:after="200" w:line="240" w:lineRule="auto"/>
    </w:pPr>
    <w:rPr>
      <w:i/>
      <w:iCs/>
      <w:color w:val="44546A" w:themeColor="text2"/>
      <w:sz w:val="18"/>
      <w:szCs w:val="18"/>
    </w:rPr>
  </w:style>
  <w:style w:type="paragraph" w:styleId="Nincstrkz">
    <w:name w:val="No Spacing"/>
    <w:link w:val="NincstrkzChar"/>
    <w:uiPriority w:val="1"/>
    <w:rsid w:val="00A04DAB"/>
    <w:pPr>
      <w:spacing w:after="0" w:line="240" w:lineRule="auto"/>
    </w:pPr>
    <w:rPr>
      <w:sz w:val="22"/>
      <w:szCs w:val="22"/>
      <w:lang w:eastAsia="en-GB"/>
    </w:rPr>
  </w:style>
  <w:style w:type="character" w:customStyle="1" w:styleId="NincstrkzChar">
    <w:name w:val="Nincs térköz Char"/>
    <w:basedOn w:val="Bekezdsalapbettpusa"/>
    <w:link w:val="Nincstrkz"/>
    <w:uiPriority w:val="1"/>
    <w:rsid w:val="00A04DAB"/>
    <w:rPr>
      <w:kern w:val="0"/>
      <w:sz w:val="22"/>
      <w:szCs w:val="22"/>
      <w:lang w:val="en-GB" w:eastAsia="en-GB"/>
    </w:rPr>
  </w:style>
  <w:style w:type="paragraph" w:customStyle="1" w:styleId="Subtitle1">
    <w:name w:val="Subtitle1"/>
    <w:basedOn w:val="Norml"/>
    <w:link w:val="Subtitle1Char"/>
    <w:qFormat/>
    <w:rsid w:val="00A04DAB"/>
    <w:pPr>
      <w:spacing w:line="480" w:lineRule="exact"/>
    </w:pPr>
    <w:rPr>
      <w:rFonts w:ascii="Open Sans" w:eastAsiaTheme="minorHAnsi" w:hAnsi="Open Sans" w:cs="Open Sans"/>
      <w:color w:val="003399"/>
      <w:sz w:val="40"/>
      <w:szCs w:val="40"/>
      <w:lang w:eastAsia="en-US"/>
    </w:rPr>
  </w:style>
  <w:style w:type="character" w:customStyle="1" w:styleId="Subtitle1Char">
    <w:name w:val="Subtitle1 Char"/>
    <w:basedOn w:val="Bekezdsalapbettpusa"/>
    <w:link w:val="Subtitle1"/>
    <w:rsid w:val="00A04DAB"/>
    <w:rPr>
      <w:rFonts w:ascii="Open Sans" w:eastAsiaTheme="minorHAnsi" w:hAnsi="Open Sans" w:cs="Open Sans"/>
      <w:color w:val="003399"/>
      <w:kern w:val="0"/>
      <w:sz w:val="40"/>
      <w:szCs w:val="40"/>
      <w:lang w:val="en-GB" w:eastAsia="en-US"/>
    </w:rPr>
  </w:style>
  <w:style w:type="paragraph" w:customStyle="1" w:styleId="Title1">
    <w:name w:val="Title1"/>
    <w:basedOn w:val="Norml"/>
    <w:link w:val="Title1Char"/>
    <w:qFormat/>
    <w:rsid w:val="00A04DAB"/>
    <w:pPr>
      <w:spacing w:after="0" w:line="1320" w:lineRule="exact"/>
    </w:pPr>
    <w:rPr>
      <w:rFonts w:ascii="Open Sans" w:eastAsiaTheme="minorHAnsi" w:hAnsi="Open Sans" w:cs="Open Sans"/>
      <w:b/>
      <w:bCs/>
      <w:color w:val="003399"/>
      <w:sz w:val="120"/>
      <w:szCs w:val="120"/>
      <w:lang w:eastAsia="en-US"/>
    </w:rPr>
  </w:style>
  <w:style w:type="character" w:customStyle="1" w:styleId="Title1Char">
    <w:name w:val="Title1 Char"/>
    <w:basedOn w:val="Bekezdsalapbettpusa"/>
    <w:link w:val="Title1"/>
    <w:rsid w:val="00A04DAB"/>
    <w:rPr>
      <w:rFonts w:ascii="Open Sans" w:eastAsiaTheme="minorHAnsi" w:hAnsi="Open Sans" w:cs="Open Sans"/>
      <w:b/>
      <w:bCs/>
      <w:color w:val="003399"/>
      <w:kern w:val="0"/>
      <w:sz w:val="120"/>
      <w:szCs w:val="120"/>
      <w:lang w:val="en-GB" w:eastAsia="en-US"/>
    </w:rPr>
  </w:style>
  <w:style w:type="paragraph" w:styleId="Tartalomjegyzkcmsora">
    <w:name w:val="TOC Heading"/>
    <w:basedOn w:val="Cmsor1"/>
    <w:next w:val="Norml"/>
    <w:uiPriority w:val="39"/>
    <w:unhideWhenUsed/>
    <w:qFormat/>
    <w:rsid w:val="00A04DAB"/>
    <w:pPr>
      <w:spacing w:before="240" w:after="0" w:line="259" w:lineRule="auto"/>
      <w:outlineLvl w:val="9"/>
    </w:pPr>
    <w:rPr>
      <w:sz w:val="32"/>
      <w:szCs w:val="32"/>
    </w:rPr>
  </w:style>
  <w:style w:type="paragraph" w:styleId="TJ1">
    <w:name w:val="toc 1"/>
    <w:basedOn w:val="Norml"/>
    <w:next w:val="Norml"/>
    <w:autoRedefine/>
    <w:uiPriority w:val="39"/>
    <w:unhideWhenUsed/>
    <w:rsid w:val="00A04DAB"/>
    <w:pPr>
      <w:spacing w:after="100"/>
    </w:pPr>
  </w:style>
  <w:style w:type="paragraph" w:styleId="TJ2">
    <w:name w:val="toc 2"/>
    <w:basedOn w:val="Norml"/>
    <w:next w:val="Norml"/>
    <w:autoRedefine/>
    <w:uiPriority w:val="39"/>
    <w:unhideWhenUsed/>
    <w:rsid w:val="00A04DAB"/>
    <w:pPr>
      <w:spacing w:after="100"/>
      <w:ind w:left="240"/>
    </w:pPr>
  </w:style>
  <w:style w:type="paragraph" w:styleId="lfej">
    <w:name w:val="header"/>
    <w:basedOn w:val="Norml"/>
    <w:link w:val="lfejChar"/>
    <w:uiPriority w:val="99"/>
    <w:unhideWhenUsed/>
    <w:rsid w:val="00C43931"/>
    <w:pPr>
      <w:tabs>
        <w:tab w:val="center" w:pos="4536"/>
        <w:tab w:val="right" w:pos="9072"/>
      </w:tabs>
      <w:spacing w:after="0" w:line="240" w:lineRule="auto"/>
    </w:pPr>
  </w:style>
  <w:style w:type="character" w:customStyle="1" w:styleId="lfejChar">
    <w:name w:val="Élőfej Char"/>
    <w:basedOn w:val="Bekezdsalapbettpusa"/>
    <w:link w:val="lfej"/>
    <w:uiPriority w:val="99"/>
    <w:rsid w:val="00C43931"/>
  </w:style>
  <w:style w:type="paragraph" w:styleId="llb">
    <w:name w:val="footer"/>
    <w:basedOn w:val="Norml"/>
    <w:link w:val="llbChar"/>
    <w:uiPriority w:val="99"/>
    <w:unhideWhenUsed/>
    <w:rsid w:val="00C43931"/>
    <w:pPr>
      <w:tabs>
        <w:tab w:val="center" w:pos="4536"/>
        <w:tab w:val="right" w:pos="9072"/>
      </w:tabs>
      <w:spacing w:after="0" w:line="240" w:lineRule="auto"/>
    </w:pPr>
  </w:style>
  <w:style w:type="character" w:customStyle="1" w:styleId="llbChar">
    <w:name w:val="Élőláb Char"/>
    <w:basedOn w:val="Bekezdsalapbettpusa"/>
    <w:link w:val="llb"/>
    <w:uiPriority w:val="99"/>
    <w:rsid w:val="00C43931"/>
  </w:style>
  <w:style w:type="paragraph" w:styleId="Lbjegyzetszveg">
    <w:name w:val="footnote text"/>
    <w:basedOn w:val="Norml"/>
    <w:link w:val="LbjegyzetszvegChar"/>
    <w:uiPriority w:val="99"/>
    <w:semiHidden/>
    <w:unhideWhenUsed/>
    <w:rsid w:val="00AC4761"/>
    <w:pPr>
      <w:spacing w:after="0" w:line="240" w:lineRule="auto"/>
    </w:pPr>
    <w:rPr>
      <w:sz w:val="20"/>
      <w:szCs w:val="20"/>
    </w:rPr>
  </w:style>
  <w:style w:type="character" w:customStyle="1" w:styleId="LbjegyzetszvegChar">
    <w:name w:val="Lábjegyzetszöveg Char"/>
    <w:basedOn w:val="Bekezdsalapbettpusa"/>
    <w:link w:val="Lbjegyzetszveg"/>
    <w:uiPriority w:val="99"/>
    <w:semiHidden/>
    <w:rsid w:val="00AC4761"/>
    <w:rPr>
      <w:sz w:val="20"/>
      <w:szCs w:val="20"/>
    </w:rPr>
  </w:style>
  <w:style w:type="character" w:styleId="Lbjegyzet-hivatkozs">
    <w:name w:val="footnote reference"/>
    <w:basedOn w:val="Bekezdsalapbettpusa"/>
    <w:uiPriority w:val="99"/>
    <w:semiHidden/>
    <w:unhideWhenUsed/>
    <w:rsid w:val="00AC4761"/>
    <w:rPr>
      <w:vertAlign w:val="superscript"/>
    </w:rPr>
  </w:style>
  <w:style w:type="character" w:styleId="Mrltotthiperhivatkozs">
    <w:name w:val="FollowedHyperlink"/>
    <w:basedOn w:val="Bekezdsalapbettpusa"/>
    <w:uiPriority w:val="99"/>
    <w:semiHidden/>
    <w:unhideWhenUsed/>
    <w:rsid w:val="00AC4761"/>
    <w:rPr>
      <w:color w:val="954F72" w:themeColor="followedHyperlink"/>
      <w:u w:val="single"/>
    </w:rPr>
  </w:style>
  <w:style w:type="character" w:customStyle="1" w:styleId="Feloldatlanmegemlts1">
    <w:name w:val="Feloldatlan megemlítés1"/>
    <w:basedOn w:val="Bekezdsalapbettpusa"/>
    <w:uiPriority w:val="99"/>
    <w:semiHidden/>
    <w:unhideWhenUsed/>
    <w:rsid w:val="00BB4706"/>
    <w:rPr>
      <w:color w:val="605E5C"/>
      <w:shd w:val="clear" w:color="auto" w:fill="E1DFDD"/>
    </w:rPr>
  </w:style>
  <w:style w:type="paragraph" w:styleId="TJ3">
    <w:name w:val="toc 3"/>
    <w:basedOn w:val="Norml"/>
    <w:next w:val="Norml"/>
    <w:autoRedefine/>
    <w:uiPriority w:val="39"/>
    <w:unhideWhenUsed/>
    <w:rsid w:val="009E0D9E"/>
    <w:pPr>
      <w:spacing w:after="100"/>
      <w:ind w:left="480"/>
    </w:pPr>
  </w:style>
  <w:style w:type="table" w:customStyle="1" w:styleId="a">
    <w:basedOn w:val="TableNormal"/>
    <w:pPr>
      <w:spacing w:after="0" w:line="240" w:lineRule="auto"/>
    </w:pPr>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Buborkszveg">
    <w:name w:val="Balloon Text"/>
    <w:basedOn w:val="Norml"/>
    <w:link w:val="BuborkszvegChar"/>
    <w:uiPriority w:val="99"/>
    <w:semiHidden/>
    <w:unhideWhenUsed/>
    <w:rsid w:val="00B6266E"/>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B6266E"/>
    <w:rPr>
      <w:rFonts w:ascii="Segoe UI" w:hAnsi="Segoe UI" w:cs="Segoe UI"/>
      <w:sz w:val="18"/>
      <w:szCs w:val="18"/>
    </w:rPr>
  </w:style>
  <w:style w:type="character" w:customStyle="1" w:styleId="Feloldatlanmegemlts2">
    <w:name w:val="Feloldatlan megemlítés2"/>
    <w:basedOn w:val="Bekezdsalapbettpusa"/>
    <w:uiPriority w:val="99"/>
    <w:semiHidden/>
    <w:unhideWhenUsed/>
    <w:rsid w:val="00E030C9"/>
    <w:rPr>
      <w:color w:val="605E5C"/>
      <w:shd w:val="clear" w:color="auto" w:fill="E1DFDD"/>
    </w:rPr>
  </w:style>
  <w:style w:type="paragraph" w:styleId="Vltozat">
    <w:name w:val="Revision"/>
    <w:hidden/>
    <w:uiPriority w:val="99"/>
    <w:semiHidden/>
    <w:rsid w:val="00A26788"/>
    <w:pPr>
      <w:spacing w:after="0" w:line="240" w:lineRule="auto"/>
    </w:pPr>
  </w:style>
  <w:style w:type="character" w:customStyle="1" w:styleId="Feloldatlanmegemlts3">
    <w:name w:val="Feloldatlan megemlítés3"/>
    <w:basedOn w:val="Bekezdsalapbettpusa"/>
    <w:uiPriority w:val="99"/>
    <w:semiHidden/>
    <w:unhideWhenUsed/>
    <w:rsid w:val="00D47643"/>
    <w:rPr>
      <w:color w:val="605E5C"/>
      <w:shd w:val="clear" w:color="auto" w:fill="E1DFDD"/>
    </w:rPr>
  </w:style>
  <w:style w:type="character" w:customStyle="1" w:styleId="Feloldatlanmegemlts4">
    <w:name w:val="Feloldatlan megemlítés4"/>
    <w:basedOn w:val="Bekezdsalapbettpusa"/>
    <w:uiPriority w:val="99"/>
    <w:semiHidden/>
    <w:unhideWhenUsed/>
    <w:rsid w:val="00BA31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7927633">
      <w:bodyDiv w:val="1"/>
      <w:marLeft w:val="0"/>
      <w:marRight w:val="0"/>
      <w:marTop w:val="0"/>
      <w:marBottom w:val="0"/>
      <w:divBdr>
        <w:top w:val="none" w:sz="0" w:space="0" w:color="auto"/>
        <w:left w:val="none" w:sz="0" w:space="0" w:color="auto"/>
        <w:bottom w:val="none" w:sz="0" w:space="0" w:color="auto"/>
        <w:right w:val="none" w:sz="0" w:space="0" w:color="auto"/>
      </w:divBdr>
    </w:div>
    <w:div w:id="21224590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mailto:szerencses.viktoria@emk.semmelweis.hu" TargetMode="External"/><Relationship Id="rId18" Type="http://schemas.openxmlformats.org/officeDocument/2006/relationships/hyperlink" Target="https://cfirguide.org/constructs/" TargetMode="External"/><Relationship Id="rId26" Type="http://schemas.openxmlformats.org/officeDocument/2006/relationships/hyperlink" Target="https://doi.org/10.2196/jmir.8775" TargetMode="External"/><Relationship Id="rId21" Type="http://schemas.openxmlformats.org/officeDocument/2006/relationships/hyperlink" Target="https://doi.org/10.1007/s10916-016-0486-5"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varga.gergely@emk.semmelweis.hu" TargetMode="External"/><Relationship Id="rId17" Type="http://schemas.openxmlformats.org/officeDocument/2006/relationships/hyperlink" Target="file:///C:/Users/Davidovics%20Krisztina/Downloads/" TargetMode="External"/><Relationship Id="rId25" Type="http://schemas.openxmlformats.org/officeDocument/2006/relationships/hyperlink" Target="https://doi.org/10.1007/s10916-018-1097-0" TargetMode="External"/><Relationship Id="rId33" Type="http://schemas.openxmlformats.org/officeDocument/2006/relationships/footer" Target="footer1.xml"/><Relationship Id="rId38" Type="http://schemas.openxmlformats.org/officeDocument/2006/relationships/customXml" Target="../customXml/item5.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monitor.digitalhealthmonitor.org/indicators_info" TargetMode="External"/><Relationship Id="rId29" Type="http://schemas.openxmlformats.org/officeDocument/2006/relationships/hyperlink" Target="https://doi.org/10.1093/jamia/ocaa255"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davidovics.krisztina@emk.semmelweis.hu" TargetMode="External"/><Relationship Id="rId24" Type="http://schemas.openxmlformats.org/officeDocument/2006/relationships/hyperlink" Target="https://doi.org/10.1007/s10916-018-1097-0" TargetMode="External"/><Relationship Id="rId32" Type="http://schemas.openxmlformats.org/officeDocument/2006/relationships/header" Target="header1.xml"/><Relationship Id="rId37" Type="http://schemas.openxmlformats.org/officeDocument/2006/relationships/customXml" Target="../customXml/item4.xml"/><Relationship Id="rId5" Type="http://schemas.openxmlformats.org/officeDocument/2006/relationships/settings" Target="settings.xml"/><Relationship Id="rId15" Type="http://schemas.openxmlformats.org/officeDocument/2006/relationships/image" Target="media/image4.png"/><Relationship Id="rId23" Type="http://schemas.openxmlformats.org/officeDocument/2006/relationships/hyperlink" Target="https://www.ncbi.nlm.nih.gov/pmc/articles/PMC8200262/" TargetMode="External"/><Relationship Id="rId28" Type="http://schemas.openxmlformats.org/officeDocument/2006/relationships/hyperlink" Target="https://doi.org/10.1093/jamia/ocaa255" TargetMode="External"/><Relationship Id="rId36" Type="http://schemas.openxmlformats.org/officeDocument/2006/relationships/customXml" Target="../customXml/item3.xml"/><Relationship Id="rId10" Type="http://schemas.openxmlformats.org/officeDocument/2006/relationships/image" Target="media/image2.png"/><Relationship Id="rId19" Type="http://schemas.openxmlformats.org/officeDocument/2006/relationships/hyperlink" Target="https://monitor.digitalhealthmonitor.org/indicators_info" TargetMode="External"/><Relationship Id="rId31" Type="http://schemas.openxmlformats.org/officeDocument/2006/relationships/hyperlink" Target="https://doi.org/10.1787/507433b0-en"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hyperlink" Target="https://doi.org/10.1007/s10916-016-0486-5" TargetMode="External"/><Relationship Id="rId27" Type="http://schemas.openxmlformats.org/officeDocument/2006/relationships/hyperlink" Target="https://doi.org/10.2196/jmir.8775" TargetMode="External"/><Relationship Id="rId30" Type="http://schemas.openxmlformats.org/officeDocument/2006/relationships/hyperlink" Target="https://www.oecd.org/health/country-health-profiles-eu.htm" TargetMode="External"/><Relationship Id="rId35" Type="http://schemas.openxmlformats.org/officeDocument/2006/relationships/theme" Target="theme/theme1.xml"/><Relationship Id="rId8" Type="http://schemas.openxmlformats.org/officeDocument/2006/relationships/endnotes" Target="endnotes.xml"/><Relationship Id="rId3"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_rels/footnotes.xml.rels><?xml version="1.0" encoding="UTF-8" standalone="yes"?>
<Relationships xmlns="http://schemas.openxmlformats.org/package/2006/relationships"><Relationship Id="rId3" Type="http://schemas.openxmlformats.org/officeDocument/2006/relationships/hyperlink" Target="https://digitalhealthmonitor.org/" TargetMode="External"/><Relationship Id="rId2" Type="http://schemas.openxmlformats.org/officeDocument/2006/relationships/hyperlink" Target="https://www.scirocco-project.eu/maturitymodel/" TargetMode="External"/><Relationship Id="rId1" Type="http://schemas.openxmlformats.org/officeDocument/2006/relationships/hyperlink" Target="https://doi.org/10.1787/507433b0-en" TargetMode="External"/><Relationship Id="rId4" Type="http://schemas.openxmlformats.org/officeDocument/2006/relationships/hyperlink" Target="https://cfirguide.org/construct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Z9IJ4hdCHuVcgbFM6QaoLhLWnIA==">CgMxLjAaJwoBMBIiCiAIBCocCgtBQUFCTnhaVDdxZxAIGgtBQUFCTnhaVDdxZxonCgExEiIKIAgEKhwKC0FBQUJOaFZzd3lREAgaC0FBQUJOaFZzd3lRGicKATISIgogCAQqHAoLQUFBQk5oVnN3eDAQCBoLQUFBQk5oVnN3eDAi8gMKC0FBQUJOeFpUN3FnEsgDCgtBQUFCTnhaVDdxZxILQUFBQk54WlQ3cWcaNwoJdGV4dC9odG1sEipTcGVjaWZpa3VzIGRlZmluw61jacOzIGViYmVuIGEgcHJvamVrdGJlbj8iOAoKdGV4dC9wbGFpbhIqU3BlY2lmaWt1cyBkZWZpbsOtY2nDsyBlYmJlbiBhIHByb2pla3RiZW4/KnIKOVZhcmdhIEdlcmdlbHkgKEVnw6lzenPDqWfDvGd5aSBNZW5lZHpzZXJrw6lwesWRIEvDtnpwb250KRo1Ly9zc2wuZ3N0YXRpYy5jb20vZG9jcy9jb21tb24vYmx1ZV9zaWxob3VldHRlOTYtMC5wbmcw4LeV5vcxOOC3leb3MXJ0CjlWYXJnYSBHZXJnZWx5IChFZ8Opc3pzw6lnw7xneWkgTWVuZWR6c2Vya8OpcHrFkSBLw7Z6cG9udCkaNwo1Ly9zc2wuZ3N0YXRpYy5jb20vZG9jcy9jb21tb24vYmx1ZV9zaWxob3VldHRlOTYtMC5wbmd4AIgBAZoBBggAEAAYAKoBLBIqU3BlY2lmaWt1cyBkZWZpbsOtY2nDsyBlYmJlbiBhIHByb2pla3RiZW4/sAEAuAEBGOC3leb3MSDgt5Xm9zEwAEIIa2l4LmNtdDAi5wIKC0FBQUJOaFZzd3lRErUCCgtBQUFCTmhWc3d5URILQUFBQk5oVnN3eVEaOwoJdGV4dC9odG1sEi5lenQgbWVnIGtlbGwgbsOpem5pLCBob2d5IHTDqW55bGVnIGViYmVuIHZhbi1lIjwKCnRleHQvcGxhaW4SLmV6dCBtZWcga2VsbCBuw6l6bmksIGhvZ3kgdMOpbnlsZWcgZWJiZW4gdmFuLWUqGyIVMTA1MzUyNjUwODg3NTUwODE1NTY3KAA4ADDh/vnj+DE44f754/gxSh0KCnRleHQvcGxhaW4SD0dyYW50IEFncmVlbWVudFoMbW92a3MzZ2o4N25zcgIgAHgAmgEGCAAQABgAqgEwEi5lenQgbWVnIGtlbGwgbsOpem5pLCBob2d5IHTDqW55bGVnIGViYmVuIHZhbi1lsAEAuAEAGOH++eP4MSDh/vnj+DEwAEIQa2l4LmtnM3NveWxyYWRrdSLZBAoLQUFBQk5oVnN3eDASpwQKC0FBQUJOaFZzd3gwEgtBQUFCTmhWc3d4MBqLAQoJdGV4dC9odG1sEn5JZGUgbcOhc3QgaXMgw61yaGF0dW5rLCBuZW0gdHVkb20sIHRpIGhvbCBrZXJlc3RldGVrLCDDqW4gUHVibWVkIMOpcyBzaW1hIGdvb2dsZSwgZGUgZ29uZG9sdGFtIGEgR29vZ2xlIFNjaG9sYXIgam9iYmFuIGhhbmd6aWsijAEKCnRleHQvcGxhaW4SfklkZSBtw6FzdCBpcyDDrXJoYXR1bmssIG5lbSB0dWRvbSwgdGkgaG9sIGtlcmVzdGV0ZWssIMOpbiBQdWJtZWQgw6lzIHNpbWEgZ29vZ2xlLCBkZSBnb25kb2x0YW0gYSBHb29nbGUgU2Nob2xhciBqb2JiYW4gaGFuZ3ppayobIhUxMDUzNTI2NTA4ODc1NTA4MTU1NjcoADgAMIHby+H4MTiB28vh+DFKHAoKdGV4dC9wbGFpbhIOR29vZ2xlIFNjaG9sYXJaDDduend1MHRyaHdkNXICIAB4AJoBBggAEAAYAKoBgAESfklkZSBtw6FzdCBpcyDDrXJoYXR1bmssIG5lbSB0dWRvbSwgdGkgaG9sIGtlcmVzdGV0ZWssIMOpbiBQdWJtZWQgw6lzIHNpbWEgZ29vZ2xlLCBkZSBnb25kb2x0YW0gYSBHb29nbGUgU2Nob2xhciBqb2JiYW4gaGFuZ3ppa7ABALgBABiB28vh+DEggdvL4fgxMABCEGtpeC5lcnFndHk2emczNGEyCGguZ2pkZ3hzMgloLjMwajB6bGwyCWguMWZvYjl0ZTIJaC4zem55c2g3MgloLjJldDkycDAyCGgudHlqY3d0MgloLjNkeTZ2a20yCWguMXQzaDVzZjIJaC40ZDM0b2c4MgloLjJzOGV5bzEyCWguMTdkcDh2dTIJaC4zcmRjcmpuMgloLjI2aW4xcmcyCGgubG54Yno5MgloLjM1bmt1bjIyCWguMWtzdjR1djIJaC40NHNpbmlvMgloLjJqeHN4cWgyCGguejMzN3lhMgloLjNqMnFxbTMyCWguMXk4MTB0dzIJaC40aTdvamhwMgloLjJ4Y3l0cGkyCWguMWNpOTN4YjIJaC4zd2h3bWw0MgloLjJibjZ3c3gyDmguYTQ1c3k0bGc4d3d3OAByITFvUTZ3S2pGdjJaR2MzLW1jMUczdHVaZTlJN1pNWWh4e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kumentum" ma:contentTypeID="0x01010092D4E08058F9E044853D11D299A77EF8" ma:contentTypeVersion="14" ma:contentTypeDescription="Új dokumentum létrehozása." ma:contentTypeScope="" ma:versionID="bd6e4410921f8fe9a4843f0fe773dfc1">
  <xsd:schema xmlns:xsd="http://www.w3.org/2001/XMLSchema" xmlns:xs="http://www.w3.org/2001/XMLSchema" xmlns:p="http://schemas.microsoft.com/office/2006/metadata/properties" xmlns:ns2="2a1b8e44-0750-43ce-a4a6-b07551117e6e" xmlns:ns3="8434dfe5-2414-4e9f-8312-dc97356c4fec" targetNamespace="http://schemas.microsoft.com/office/2006/metadata/properties" ma:root="true" ma:fieldsID="baed90adb3aaea0ffd1eb715d212233b" ns2:_="" ns3:_="">
    <xsd:import namespace="2a1b8e44-0750-43ce-a4a6-b07551117e6e"/>
    <xsd:import namespace="8434dfe5-2414-4e9f-8312-dc97356c4fe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1b8e44-0750-43ce-a4a6-b07551117e6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lcf76f155ced4ddcb4097134ff3c332f" ma:index="19" nillable="true" ma:taxonomy="true" ma:internalName="lcf76f155ced4ddcb4097134ff3c332f" ma:taxonomyFieldName="MediaServiceImageTags" ma:displayName="Képcímkék" ma:readOnly="false" ma:fieldId="{5cf76f15-5ced-4ddc-b409-7134ff3c332f}" ma:taxonomyMulti="true" ma:sspId="1323a659-14ea-4466-8044-9b1bfca8b403"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434dfe5-2414-4e9f-8312-dc97356c4fec" elementFormDefault="qualified">
    <xsd:import namespace="http://schemas.microsoft.com/office/2006/documentManagement/types"/>
    <xsd:import namespace="http://schemas.microsoft.com/office/infopath/2007/PartnerControls"/>
    <xsd:element name="SharedWithUsers" ma:index="12" nillable="true" ma:displayName="Résztvevők"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Megosztva részletekkel" ma:internalName="SharedWithDetails" ma:readOnly="true">
      <xsd:simpleType>
        <xsd:restriction base="dms:Note">
          <xsd:maxLength value="255"/>
        </xsd:restriction>
      </xsd:simpleType>
    </xsd:element>
    <xsd:element name="TaxCatchAll" ma:index="20" nillable="true" ma:displayName="Taxonomy Catch All Column" ma:hidden="true" ma:list="{0cc0aaab-f79f-405b-b876-2acb1d95c91c}" ma:internalName="TaxCatchAll" ma:showField="CatchAllData" ma:web="8434dfe5-2414-4e9f-8312-dc97356c4f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TaxCatchAll xmlns="8434dfe5-2414-4e9f-8312-dc97356c4fec" xsi:nil="true"/>
    <lcf76f155ced4ddcb4097134ff3c332f xmlns="2a1b8e44-0750-43ce-a4a6-b07551117e6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84BF8736-5108-4043-9D26-56670894E1F3}">
  <ds:schemaRefs>
    <ds:schemaRef ds:uri="http://schemas.openxmlformats.org/officeDocument/2006/bibliography"/>
  </ds:schemaRefs>
</ds:datastoreItem>
</file>

<file path=customXml/itemProps3.xml><?xml version="1.0" encoding="utf-8"?>
<ds:datastoreItem xmlns:ds="http://schemas.openxmlformats.org/officeDocument/2006/customXml" ds:itemID="{C67BE1F9-D6BA-4FE1-B575-D143082FF42F}"/>
</file>

<file path=customXml/itemProps4.xml><?xml version="1.0" encoding="utf-8"?>
<ds:datastoreItem xmlns:ds="http://schemas.openxmlformats.org/officeDocument/2006/customXml" ds:itemID="{4441AFEB-3489-4C97-A460-BE8C1A02C058}"/>
</file>

<file path=customXml/itemProps5.xml><?xml version="1.0" encoding="utf-8"?>
<ds:datastoreItem xmlns:ds="http://schemas.openxmlformats.org/officeDocument/2006/customXml" ds:itemID="{DBBF49EC-E127-4E63-83CE-1F0ACE186CD6}"/>
</file>

<file path=docProps/app.xml><?xml version="1.0" encoding="utf-8"?>
<Properties xmlns="http://schemas.openxmlformats.org/officeDocument/2006/extended-properties" xmlns:vt="http://schemas.openxmlformats.org/officeDocument/2006/docPropsVTypes">
  <Template>Normal</Template>
  <TotalTime>1</TotalTime>
  <Pages>21</Pages>
  <Words>6969</Words>
  <Characters>40845</Characters>
  <Application>Microsoft Office Word</Application>
  <DocSecurity>0</DocSecurity>
  <Lines>742</Lines>
  <Paragraphs>341</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47473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Davidovics Krisztina</dc:creator>
  <cp:lastModifiedBy>Davidovics Krisztina</cp:lastModifiedBy>
  <cp:revision>3</cp:revision>
  <dcterms:created xsi:type="dcterms:W3CDTF">2024-06-03T13:51:00Z</dcterms:created>
  <dcterms:modified xsi:type="dcterms:W3CDTF">2024-06-03T13:52:00Z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7a17d31e0fe719ddce39f1a95ab51ce07665361eada78501293f25141327bd07</vt:lpwstr>
  </property>
  <property fmtid="{D5CDD505-2E9C-101B-9397-08002B2CF9AE}" pid="3" name="ContentTypeId">
    <vt:lpwstr>0x01010092D4E08058F9E044853D11D299A77EF8</vt:lpwstr>
  </property>
</Properties>
</file>