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D77D" w14:textId="77777777" w:rsidR="00E24EC1" w:rsidRDefault="00000000">
      <w:pPr>
        <w:pBdr>
          <w:top w:val="nil"/>
          <w:left w:val="nil"/>
          <w:bottom w:val="nil"/>
          <w:right w:val="nil"/>
          <w:between w:val="nil"/>
        </w:pBdr>
        <w:rPr>
          <w:rFonts w:ascii="Trebuchet MS" w:eastAsia="Trebuchet MS" w:hAnsi="Trebuchet MS" w:cs="Trebuchet MS"/>
          <w:color w:val="000000"/>
        </w:rPr>
      </w:pPr>
      <w:r>
        <w:rPr>
          <w:noProof/>
          <w:color w:val="000000"/>
        </w:rPr>
        <w:drawing>
          <wp:inline distT="0" distB="0" distL="0" distR="0" wp14:anchorId="1ABD4097" wp14:editId="6963AC4E">
            <wp:extent cx="2787495" cy="733425"/>
            <wp:effectExtent l="0" t="0" r="0" b="0"/>
            <wp:docPr id="1991072382" name="image8.png" descr="A képen szöveg, képernyőkép, Betűtípus, Acélkék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8.png" descr="A képen szöveg, képernyőkép, Betűtípus, Acélkék látható&#10;&#10;Előfordulhat, hogy a mesterséges intelligencia által létrehozott tartalom helytelen."/>
                    <pic:cNvPicPr preferRelativeResize="0"/>
                  </pic:nvPicPr>
                  <pic:blipFill>
                    <a:blip r:embed="rId8"/>
                    <a:srcRect/>
                    <a:stretch>
                      <a:fillRect/>
                    </a:stretch>
                  </pic:blipFill>
                  <pic:spPr>
                    <a:xfrm>
                      <a:off x="0" y="0"/>
                      <a:ext cx="2787495" cy="733425"/>
                    </a:xfrm>
                    <a:prstGeom prst="rect">
                      <a:avLst/>
                    </a:prstGeom>
                    <a:ln/>
                  </pic:spPr>
                </pic:pic>
              </a:graphicData>
            </a:graphic>
          </wp:inline>
        </w:drawing>
      </w:r>
      <w:r>
        <w:rPr>
          <w:rFonts w:ascii="Trebuchet MS" w:eastAsia="Trebuchet MS" w:hAnsi="Trebuchet MS" w:cs="Trebuchet MS"/>
          <w:noProof/>
          <w:color w:val="000000"/>
        </w:rPr>
        <w:drawing>
          <wp:anchor distT="0" distB="0" distL="0" distR="0" simplePos="0" relativeHeight="251658240" behindDoc="1" locked="0" layoutInCell="1" hidden="0" allowOverlap="1" wp14:anchorId="2FD6292B" wp14:editId="45F621A0">
            <wp:simplePos x="0" y="0"/>
            <wp:positionH relativeFrom="page">
              <wp:posOffset>-41898</wp:posOffset>
            </wp:positionH>
            <wp:positionV relativeFrom="page">
              <wp:posOffset>2946960</wp:posOffset>
            </wp:positionV>
            <wp:extent cx="7560564" cy="7756273"/>
            <wp:effectExtent l="0" t="0" r="0" b="0"/>
            <wp:wrapNone/>
            <wp:docPr id="1991072381" name="image7.png" descr="A képen víz, Türkiz, Kékeszöld, képernyőkép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7.png" descr="A képen víz, Türkiz, Kékeszöld, képernyőkép látható&#10;&#10;Előfordulhat, hogy a mesterséges intelligencia által létrehozott tartalom helytelen."/>
                    <pic:cNvPicPr preferRelativeResize="0"/>
                  </pic:nvPicPr>
                  <pic:blipFill>
                    <a:blip r:embed="rId9"/>
                    <a:srcRect/>
                    <a:stretch>
                      <a:fillRect/>
                    </a:stretch>
                  </pic:blipFill>
                  <pic:spPr>
                    <a:xfrm>
                      <a:off x="0" y="0"/>
                      <a:ext cx="7560564" cy="7756273"/>
                    </a:xfrm>
                    <a:prstGeom prst="rect">
                      <a:avLst/>
                    </a:prstGeom>
                    <a:ln/>
                  </pic:spPr>
                </pic:pic>
              </a:graphicData>
            </a:graphic>
          </wp:anchor>
        </w:drawing>
      </w:r>
    </w:p>
    <w:p w14:paraId="5AAD9845" w14:textId="77777777" w:rsidR="00E24EC1" w:rsidRDefault="00E24EC1"/>
    <w:p w14:paraId="50B7824E" w14:textId="77777777" w:rsidR="00E24EC1" w:rsidRDefault="00E24EC1"/>
    <w:p w14:paraId="2B0ED21D" w14:textId="77777777" w:rsidR="00E24EC1" w:rsidRDefault="00E24EC1">
      <w:pPr>
        <w:pBdr>
          <w:top w:val="nil"/>
          <w:left w:val="nil"/>
          <w:bottom w:val="nil"/>
          <w:right w:val="nil"/>
          <w:between w:val="nil"/>
        </w:pBdr>
        <w:spacing w:before="60"/>
        <w:rPr>
          <w:rFonts w:ascii="Trebuchet MS" w:eastAsia="Trebuchet MS" w:hAnsi="Trebuchet MS" w:cs="Trebuchet MS"/>
          <w:color w:val="7F7F7F"/>
          <w:sz w:val="17"/>
          <w:szCs w:val="17"/>
        </w:rPr>
      </w:pPr>
    </w:p>
    <w:p w14:paraId="729F6BF6"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68FDBCDE"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69437E44"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D4FECF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E41A527"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769AD93"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C34A32A"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A645608"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645273B"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5FED05B"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B8C2FAA"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C0D694B" w14:textId="77777777" w:rsidR="00E24EC1" w:rsidRDefault="00000000">
      <w:pPr>
        <w:pBdr>
          <w:top w:val="nil"/>
          <w:left w:val="nil"/>
          <w:bottom w:val="nil"/>
          <w:right w:val="nil"/>
          <w:between w:val="nil"/>
        </w:pBdr>
        <w:rPr>
          <w:rFonts w:ascii="Trebuchet MS" w:eastAsia="Trebuchet MS" w:hAnsi="Trebuchet MS" w:cs="Trebuchet MS"/>
          <w:color w:val="000000"/>
        </w:rPr>
      </w:pPr>
      <w:r>
        <w:rPr>
          <w:noProof/>
        </w:rPr>
        <mc:AlternateContent>
          <mc:Choice Requires="wpg">
            <w:drawing>
              <wp:anchor distT="0" distB="0" distL="114300" distR="114300" simplePos="0" relativeHeight="251659264" behindDoc="0" locked="0" layoutInCell="1" hidden="0" allowOverlap="1" wp14:anchorId="0E74CA26" wp14:editId="317BD12C">
                <wp:simplePos x="0" y="0"/>
                <wp:positionH relativeFrom="column">
                  <wp:posOffset>1</wp:posOffset>
                </wp:positionH>
                <wp:positionV relativeFrom="paragraph">
                  <wp:posOffset>0</wp:posOffset>
                </wp:positionV>
                <wp:extent cx="5991225" cy="4486275"/>
                <wp:effectExtent l="0" t="0" r="0" b="0"/>
                <wp:wrapNone/>
                <wp:docPr id="1991072379" name="Pravokotnik 1991072379"/>
                <wp:cNvGraphicFramePr/>
                <a:graphic xmlns:a="http://schemas.openxmlformats.org/drawingml/2006/main">
                  <a:graphicData uri="http://schemas.microsoft.com/office/word/2010/wordprocessingShape">
                    <wps:wsp>
                      <wps:cNvSpPr/>
                      <wps:spPr>
                        <a:xfrm>
                          <a:off x="2355150" y="1541625"/>
                          <a:ext cx="5981700" cy="4476750"/>
                        </a:xfrm>
                        <a:prstGeom prst="rect">
                          <a:avLst/>
                        </a:prstGeom>
                        <a:noFill/>
                        <a:ln>
                          <a:noFill/>
                        </a:ln>
                      </wps:spPr>
                      <wps:txbx>
                        <w:txbxContent>
                          <w:p w14:paraId="5BDED531" w14:textId="77777777" w:rsidR="00E24EC1" w:rsidRDefault="00000000">
                            <w:pPr>
                              <w:spacing w:line="480" w:lineRule="auto"/>
                              <w:jc w:val="center"/>
                              <w:textDirection w:val="btLr"/>
                            </w:pPr>
                            <w:r>
                              <w:rPr>
                                <w:rFonts w:ascii="Arial Black" w:eastAsia="Arial Black" w:hAnsi="Arial Black" w:cs="Arial Black"/>
                                <w:color w:val="FFFFFF"/>
                                <w:sz w:val="60"/>
                              </w:rPr>
                              <w:t>Regional Action Plan of Montenegro</w:t>
                            </w:r>
                          </w:p>
                          <w:p w14:paraId="0EA58F59" w14:textId="77777777" w:rsidR="00E24EC1" w:rsidRDefault="00000000">
                            <w:pPr>
                              <w:spacing w:line="480" w:lineRule="auto"/>
                              <w:ind w:hanging="1411"/>
                              <w:jc w:val="center"/>
                              <w:textDirection w:val="btLr"/>
                            </w:pPr>
                            <w:r>
                              <w:rPr>
                                <w:rFonts w:ascii="Arial Black" w:eastAsia="Arial Black" w:hAnsi="Arial Black" w:cs="Arial Black"/>
                                <w:color w:val="FFFFFF"/>
                                <w:sz w:val="60"/>
                              </w:rPr>
                              <w:t>Activity 1.3</w:t>
                            </w:r>
                          </w:p>
                        </w:txbxContent>
                      </wps:txbx>
                      <wps:bodyPr spcFirstLastPara="1" wrap="square" lIns="91425" tIns="45675" rIns="91425" bIns="45675"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91225" cy="4486275"/>
                <wp:effectExtent b="0" l="0" r="0" t="0"/>
                <wp:wrapNone/>
                <wp:docPr id="199107237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991225" cy="4486275"/>
                        </a:xfrm>
                        <a:prstGeom prst="rect"/>
                        <a:ln/>
                      </pic:spPr>
                    </pic:pic>
                  </a:graphicData>
                </a:graphic>
              </wp:anchor>
            </w:drawing>
          </mc:Fallback>
        </mc:AlternateContent>
      </w:r>
    </w:p>
    <w:p w14:paraId="098D489A"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0C26F412"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D6E0BE3"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1CAE9E5"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307BB548"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4E662C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6567203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04AB35E"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0CD0068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23961ED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128E1E3"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286E9084"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34AAE3A2"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AEB82DD"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80816ED"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964563E"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294D61B1"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8A97CA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391EB7E1"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6A80FD97"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18D754D"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AD9F6F1"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6E37202"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0E99BD9A"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3B0B6EA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09FB403"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9C9A04B"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71748D8" w14:textId="77777777" w:rsidR="00E24EC1" w:rsidRDefault="00E24EC1"/>
    <w:p w14:paraId="33525A04" w14:textId="77777777" w:rsidR="00E24EC1" w:rsidRDefault="00000000">
      <w:pPr>
        <w:keepNext/>
        <w:keepLines/>
        <w:pBdr>
          <w:top w:val="nil"/>
          <w:left w:val="nil"/>
          <w:bottom w:val="nil"/>
          <w:right w:val="nil"/>
          <w:between w:val="nil"/>
        </w:pBdr>
        <w:tabs>
          <w:tab w:val="left" w:pos="720"/>
        </w:tabs>
        <w:spacing w:before="480"/>
        <w:ind w:left="360" w:right="340" w:hanging="360"/>
        <w:rPr>
          <w:rFonts w:ascii="Trebuchet MS" w:eastAsia="Trebuchet MS" w:hAnsi="Trebuchet MS" w:cs="Trebuchet MS"/>
          <w:b/>
          <w:color w:val="63858D"/>
          <w:sz w:val="28"/>
          <w:szCs w:val="28"/>
        </w:rPr>
      </w:pPr>
      <w:r>
        <w:rPr>
          <w:rFonts w:ascii="Trebuchet MS" w:eastAsia="Trebuchet MS" w:hAnsi="Trebuchet MS" w:cs="Trebuchet MS"/>
          <w:b/>
          <w:color w:val="63858D"/>
          <w:sz w:val="28"/>
          <w:szCs w:val="28"/>
        </w:rPr>
        <w:lastRenderedPageBreak/>
        <w:t>TABLE OF CONTENTS</w:t>
      </w:r>
    </w:p>
    <w:sdt>
      <w:sdtPr>
        <w:id w:val="159511935"/>
        <w:docPartObj>
          <w:docPartGallery w:val="Table of Contents"/>
          <w:docPartUnique/>
        </w:docPartObj>
      </w:sdtPr>
      <w:sdtContent>
        <w:p w14:paraId="7954133B" w14:textId="77777777" w:rsidR="00E24EC1" w:rsidRDefault="00000000">
          <w:pPr>
            <w:pBdr>
              <w:top w:val="nil"/>
              <w:left w:val="nil"/>
              <w:bottom w:val="nil"/>
              <w:right w:val="nil"/>
              <w:between w:val="nil"/>
            </w:pBdr>
            <w:tabs>
              <w:tab w:val="right" w:pos="9065"/>
            </w:tabs>
            <w:spacing w:before="360"/>
            <w:rPr>
              <w:rFonts w:ascii="Trebuchet MS" w:eastAsia="Trebuchet MS" w:hAnsi="Trebuchet MS" w:cs="Trebuchet MS"/>
              <w:color w:val="000000"/>
              <w:sz w:val="22"/>
              <w:szCs w:val="22"/>
            </w:rPr>
          </w:pPr>
          <w:r>
            <w:fldChar w:fldCharType="begin"/>
          </w:r>
          <w:r>
            <w:instrText xml:space="preserve"> TOC \h \u \z \t "Heading 1,1,Heading 2,2,Heading 3,3,"</w:instrText>
          </w:r>
          <w:r>
            <w:fldChar w:fldCharType="separate"/>
          </w:r>
          <w:hyperlink w:anchor="_heading=h.to943i75ebyi">
            <w:r>
              <w:rPr>
                <w:rFonts w:ascii="Trebuchet MS" w:eastAsia="Trebuchet MS" w:hAnsi="Trebuchet MS" w:cs="Trebuchet MS"/>
                <w:b/>
                <w:smallCaps/>
                <w:color w:val="000000"/>
              </w:rPr>
              <w:t>1. Introduction</w:t>
            </w:r>
            <w:r>
              <w:rPr>
                <w:rFonts w:ascii="Trebuchet MS" w:eastAsia="Trebuchet MS" w:hAnsi="Trebuchet MS" w:cs="Trebuchet MS"/>
                <w:b/>
                <w:smallCaps/>
                <w:color w:val="000000"/>
              </w:rPr>
              <w:tab/>
              <w:t>4</w:t>
            </w:r>
          </w:hyperlink>
        </w:p>
        <w:p w14:paraId="2972BF16"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u9krnstinkia">
            <w:r>
              <w:rPr>
                <w:rFonts w:ascii="Trebuchet MS" w:eastAsia="Trebuchet MS" w:hAnsi="Trebuchet MS" w:cs="Trebuchet MS"/>
                <w:b/>
                <w:color w:val="000000"/>
              </w:rPr>
              <w:t>1.1</w:t>
            </w:r>
          </w:hyperlink>
          <w:hyperlink w:anchor="_heading=h.u9krnstinkia">
            <w:r>
              <w:rPr>
                <w:rFonts w:ascii="Trebuchet MS" w:eastAsia="Trebuchet MS" w:hAnsi="Trebuchet MS" w:cs="Trebuchet MS"/>
                <w:color w:val="000000"/>
                <w:sz w:val="22"/>
                <w:szCs w:val="22"/>
              </w:rPr>
              <w:tab/>
            </w:r>
          </w:hyperlink>
          <w:r>
            <w:fldChar w:fldCharType="begin"/>
          </w:r>
          <w:r>
            <w:instrText xml:space="preserve"> PAGEREF _heading=h.u9krnstinkia \h </w:instrText>
          </w:r>
          <w:r>
            <w:fldChar w:fldCharType="separate"/>
          </w:r>
          <w:r>
            <w:rPr>
              <w:rFonts w:ascii="Trebuchet MS" w:eastAsia="Trebuchet MS" w:hAnsi="Trebuchet MS" w:cs="Trebuchet MS"/>
              <w:b/>
              <w:color w:val="000000"/>
            </w:rPr>
            <w:t>General information of the Partner</w:t>
          </w:r>
          <w:r>
            <w:rPr>
              <w:rFonts w:ascii="Trebuchet MS" w:eastAsia="Trebuchet MS" w:hAnsi="Trebuchet MS" w:cs="Trebuchet MS"/>
              <w:b/>
              <w:color w:val="000000"/>
            </w:rPr>
            <w:tab/>
            <w:t>4</w:t>
          </w:r>
          <w:r>
            <w:fldChar w:fldCharType="end"/>
          </w:r>
        </w:p>
        <w:p w14:paraId="32198430"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higzh0xvc56f">
            <w:r>
              <w:rPr>
                <w:rFonts w:ascii="Trebuchet MS" w:eastAsia="Trebuchet MS" w:hAnsi="Trebuchet MS" w:cs="Trebuchet MS"/>
                <w:b/>
                <w:color w:val="000000"/>
              </w:rPr>
              <w:t>1.2.</w:t>
            </w:r>
          </w:hyperlink>
          <w:hyperlink w:anchor="_heading=h.higzh0xvc56f">
            <w:r>
              <w:rPr>
                <w:rFonts w:ascii="Trebuchet MS" w:eastAsia="Trebuchet MS" w:hAnsi="Trebuchet MS" w:cs="Trebuchet MS"/>
                <w:color w:val="000000"/>
                <w:sz w:val="22"/>
                <w:szCs w:val="22"/>
              </w:rPr>
              <w:tab/>
            </w:r>
          </w:hyperlink>
          <w:r>
            <w:fldChar w:fldCharType="begin"/>
          </w:r>
          <w:r>
            <w:instrText xml:space="preserve"> PAGEREF _heading=h.higzh0xvc56f \h </w:instrText>
          </w:r>
          <w:r>
            <w:fldChar w:fldCharType="separate"/>
          </w:r>
          <w:r>
            <w:rPr>
              <w:rFonts w:ascii="Trebuchet MS" w:eastAsia="Trebuchet MS" w:hAnsi="Trebuchet MS" w:cs="Trebuchet MS"/>
              <w:b/>
              <w:color w:val="000000"/>
            </w:rPr>
            <w:t>Overall and specific objectives of the Action Plan</w:t>
          </w:r>
          <w:r>
            <w:rPr>
              <w:rFonts w:ascii="Trebuchet MS" w:eastAsia="Trebuchet MS" w:hAnsi="Trebuchet MS" w:cs="Trebuchet MS"/>
              <w:b/>
              <w:color w:val="000000"/>
            </w:rPr>
            <w:tab/>
            <w:t>4</w:t>
          </w:r>
          <w:r>
            <w:fldChar w:fldCharType="end"/>
          </w:r>
        </w:p>
        <w:p w14:paraId="17F0ED12"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fx28dujbh9ic">
            <w:r>
              <w:rPr>
                <w:rFonts w:ascii="Trebuchet MS" w:eastAsia="Trebuchet MS" w:hAnsi="Trebuchet MS" w:cs="Trebuchet MS"/>
                <w:b/>
                <w:smallCaps/>
                <w:color w:val="000000"/>
              </w:rPr>
              <w:t>2.</w:t>
            </w:r>
          </w:hyperlink>
          <w:hyperlink w:anchor="_heading=h.fx28dujbh9ic">
            <w:r>
              <w:rPr>
                <w:rFonts w:ascii="Trebuchet MS" w:eastAsia="Trebuchet MS" w:hAnsi="Trebuchet MS" w:cs="Trebuchet MS"/>
                <w:color w:val="000000"/>
                <w:sz w:val="22"/>
                <w:szCs w:val="22"/>
              </w:rPr>
              <w:tab/>
            </w:r>
          </w:hyperlink>
          <w:r>
            <w:fldChar w:fldCharType="begin"/>
          </w:r>
          <w:r>
            <w:instrText xml:space="preserve"> PAGEREF _heading=h.fx28dujbh9ic \h </w:instrText>
          </w:r>
          <w:r>
            <w:fldChar w:fldCharType="separate"/>
          </w:r>
          <w:r>
            <w:rPr>
              <w:rFonts w:ascii="Trebuchet MS" w:eastAsia="Trebuchet MS" w:hAnsi="Trebuchet MS" w:cs="Trebuchet MS"/>
              <w:b/>
              <w:smallCaps/>
              <w:color w:val="000000"/>
            </w:rPr>
            <w:t>Regional Analysis</w:t>
          </w:r>
          <w:r>
            <w:rPr>
              <w:rFonts w:ascii="Trebuchet MS" w:eastAsia="Trebuchet MS" w:hAnsi="Trebuchet MS" w:cs="Trebuchet MS"/>
              <w:b/>
              <w:smallCaps/>
              <w:color w:val="000000"/>
            </w:rPr>
            <w:tab/>
            <w:t>6</w:t>
          </w:r>
          <w:r>
            <w:fldChar w:fldCharType="end"/>
          </w:r>
        </w:p>
        <w:p w14:paraId="10C397E5"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4xw652ud8h3i">
            <w:r>
              <w:rPr>
                <w:rFonts w:ascii="Trebuchet MS" w:eastAsia="Trebuchet MS" w:hAnsi="Trebuchet MS" w:cs="Trebuchet MS"/>
                <w:b/>
                <w:color w:val="000000"/>
              </w:rPr>
              <w:t>2.1.</w:t>
            </w:r>
          </w:hyperlink>
          <w:hyperlink w:anchor="_heading=h.4xw652ud8h3i">
            <w:r>
              <w:rPr>
                <w:rFonts w:ascii="Trebuchet MS" w:eastAsia="Trebuchet MS" w:hAnsi="Trebuchet MS" w:cs="Trebuchet MS"/>
                <w:color w:val="000000"/>
                <w:sz w:val="22"/>
                <w:szCs w:val="22"/>
              </w:rPr>
              <w:tab/>
            </w:r>
          </w:hyperlink>
          <w:r>
            <w:fldChar w:fldCharType="begin"/>
          </w:r>
          <w:r>
            <w:instrText xml:space="preserve"> PAGEREF _heading=h.4xw652ud8h3i \h </w:instrText>
          </w:r>
          <w:r>
            <w:fldChar w:fldCharType="separate"/>
          </w:r>
          <w:r>
            <w:rPr>
              <w:rFonts w:ascii="Trebuchet MS" w:eastAsia="Trebuchet MS" w:hAnsi="Trebuchet MS" w:cs="Trebuchet MS"/>
              <w:b/>
              <w:color w:val="000000"/>
            </w:rPr>
            <w:t>Natural and cultural assets</w:t>
          </w:r>
          <w:r>
            <w:rPr>
              <w:rFonts w:ascii="Trebuchet MS" w:eastAsia="Trebuchet MS" w:hAnsi="Trebuchet MS" w:cs="Trebuchet MS"/>
              <w:b/>
              <w:color w:val="000000"/>
            </w:rPr>
            <w:tab/>
            <w:t>6</w:t>
          </w:r>
          <w:r>
            <w:fldChar w:fldCharType="end"/>
          </w:r>
        </w:p>
        <w:p w14:paraId="3AA6E330"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40uv8xyc50c6">
            <w:r>
              <w:rPr>
                <w:rFonts w:ascii="Trebuchet MS" w:eastAsia="Trebuchet MS" w:hAnsi="Trebuchet MS" w:cs="Trebuchet MS"/>
                <w:b/>
                <w:color w:val="000000"/>
              </w:rPr>
              <w:t>2.2.</w:t>
            </w:r>
          </w:hyperlink>
          <w:hyperlink w:anchor="_heading=h.40uv8xyc50c6">
            <w:r>
              <w:rPr>
                <w:rFonts w:ascii="Trebuchet MS" w:eastAsia="Trebuchet MS" w:hAnsi="Trebuchet MS" w:cs="Trebuchet MS"/>
                <w:color w:val="000000"/>
                <w:sz w:val="22"/>
                <w:szCs w:val="22"/>
              </w:rPr>
              <w:tab/>
            </w:r>
          </w:hyperlink>
          <w:r>
            <w:fldChar w:fldCharType="begin"/>
          </w:r>
          <w:r>
            <w:instrText xml:space="preserve"> PAGEREF _heading=h.40uv8xyc50c6 \h </w:instrText>
          </w:r>
          <w:r>
            <w:fldChar w:fldCharType="separate"/>
          </w:r>
          <w:r>
            <w:rPr>
              <w:rFonts w:ascii="Trebuchet MS" w:eastAsia="Trebuchet MS" w:hAnsi="Trebuchet MS" w:cs="Trebuchet MS"/>
              <w:b/>
              <w:color w:val="000000"/>
            </w:rPr>
            <w:t>Social and economic conditions in the region</w:t>
          </w:r>
          <w:r>
            <w:rPr>
              <w:rFonts w:ascii="Trebuchet MS" w:eastAsia="Trebuchet MS" w:hAnsi="Trebuchet MS" w:cs="Trebuchet MS"/>
              <w:b/>
              <w:color w:val="000000"/>
            </w:rPr>
            <w:tab/>
            <w:t>9</w:t>
          </w:r>
          <w:r>
            <w:fldChar w:fldCharType="end"/>
          </w:r>
        </w:p>
        <w:p w14:paraId="2F668EB7"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omofrh58lp3">
            <w:r>
              <w:rPr>
                <w:rFonts w:ascii="Trebuchet MS" w:eastAsia="Trebuchet MS" w:hAnsi="Trebuchet MS" w:cs="Trebuchet MS"/>
                <w:b/>
                <w:color w:val="000000"/>
              </w:rPr>
              <w:t>2.3.</w:t>
            </w:r>
          </w:hyperlink>
          <w:hyperlink w:anchor="_heading=h.omofrh58lp3">
            <w:r>
              <w:rPr>
                <w:rFonts w:ascii="Trebuchet MS" w:eastAsia="Trebuchet MS" w:hAnsi="Trebuchet MS" w:cs="Trebuchet MS"/>
                <w:color w:val="000000"/>
                <w:sz w:val="22"/>
                <w:szCs w:val="22"/>
              </w:rPr>
              <w:tab/>
            </w:r>
          </w:hyperlink>
          <w:r>
            <w:fldChar w:fldCharType="begin"/>
          </w:r>
          <w:r>
            <w:instrText xml:space="preserve"> PAGEREF _heading=h.omofrh58lp3 \h </w:instrText>
          </w:r>
          <w:r>
            <w:fldChar w:fldCharType="separate"/>
          </w:r>
          <w:r>
            <w:rPr>
              <w:rFonts w:ascii="Trebuchet MS" w:eastAsia="Trebuchet MS" w:hAnsi="Trebuchet MS" w:cs="Trebuchet MS"/>
              <w:b/>
              <w:color w:val="000000"/>
            </w:rPr>
            <w:t>Transhumance and Its Connection with Wood, Forests, and Biodiversity</w:t>
          </w:r>
          <w:r>
            <w:rPr>
              <w:rFonts w:ascii="Trebuchet MS" w:eastAsia="Trebuchet MS" w:hAnsi="Trebuchet MS" w:cs="Trebuchet MS"/>
              <w:b/>
              <w:color w:val="000000"/>
            </w:rPr>
            <w:tab/>
            <w:t>11</w:t>
          </w:r>
          <w:r>
            <w:fldChar w:fldCharType="end"/>
          </w:r>
        </w:p>
        <w:p w14:paraId="0C7DDA00"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460lb7zi64ao">
            <w:r>
              <w:rPr>
                <w:rFonts w:ascii="Trebuchet MS" w:eastAsia="Trebuchet MS" w:hAnsi="Trebuchet MS" w:cs="Trebuchet MS"/>
                <w:b/>
                <w:color w:val="000000"/>
              </w:rPr>
              <w:t>2.4.</w:t>
            </w:r>
          </w:hyperlink>
          <w:hyperlink w:anchor="_heading=h.460lb7zi64ao">
            <w:r>
              <w:rPr>
                <w:rFonts w:ascii="Trebuchet MS" w:eastAsia="Trebuchet MS" w:hAnsi="Trebuchet MS" w:cs="Trebuchet MS"/>
                <w:color w:val="000000"/>
                <w:sz w:val="22"/>
                <w:szCs w:val="22"/>
              </w:rPr>
              <w:tab/>
            </w:r>
          </w:hyperlink>
          <w:r>
            <w:fldChar w:fldCharType="begin"/>
          </w:r>
          <w:r>
            <w:instrText xml:space="preserve"> PAGEREF _heading=h.460lb7zi64ao \h </w:instrText>
          </w:r>
          <w:r>
            <w:fldChar w:fldCharType="separate"/>
          </w:r>
          <w:r>
            <w:rPr>
              <w:rFonts w:ascii="Trebuchet MS" w:eastAsia="Trebuchet MS" w:hAnsi="Trebuchet MS" w:cs="Trebuchet MS"/>
              <w:b/>
              <w:color w:val="000000"/>
            </w:rPr>
            <w:t>Summary of the regional assessment</w:t>
          </w:r>
          <w:r>
            <w:rPr>
              <w:rFonts w:ascii="Trebuchet MS" w:eastAsia="Trebuchet MS" w:hAnsi="Trebuchet MS" w:cs="Trebuchet MS"/>
              <w:b/>
              <w:color w:val="000000"/>
            </w:rPr>
            <w:tab/>
            <w:t>12</w:t>
          </w:r>
          <w:r>
            <w:fldChar w:fldCharType="end"/>
          </w:r>
        </w:p>
        <w:p w14:paraId="5320EB78"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74botijv7vaq">
            <w:r>
              <w:rPr>
                <w:rFonts w:ascii="Trebuchet MS" w:eastAsia="Trebuchet MS" w:hAnsi="Trebuchet MS" w:cs="Trebuchet MS"/>
                <w:b/>
                <w:color w:val="000000"/>
              </w:rPr>
              <w:t>2.5.</w:t>
            </w:r>
          </w:hyperlink>
          <w:hyperlink w:anchor="_heading=h.74botijv7vaq">
            <w:r>
              <w:rPr>
                <w:rFonts w:ascii="Trebuchet MS" w:eastAsia="Trebuchet MS" w:hAnsi="Trebuchet MS" w:cs="Trebuchet MS"/>
                <w:color w:val="000000"/>
                <w:sz w:val="22"/>
                <w:szCs w:val="22"/>
              </w:rPr>
              <w:tab/>
            </w:r>
          </w:hyperlink>
          <w:r>
            <w:fldChar w:fldCharType="begin"/>
          </w:r>
          <w:r>
            <w:instrText xml:space="preserve"> PAGEREF _heading=h.74botijv7vaq \h </w:instrText>
          </w:r>
          <w:r>
            <w:fldChar w:fldCharType="separate"/>
          </w:r>
          <w:r>
            <w:rPr>
              <w:rFonts w:ascii="Trebuchet MS" w:eastAsia="Trebuchet MS" w:hAnsi="Trebuchet MS" w:cs="Trebuchet MS"/>
              <w:b/>
              <w:color w:val="000000"/>
            </w:rPr>
            <w:t>Challenges and opportunities</w:t>
          </w:r>
          <w:r>
            <w:rPr>
              <w:rFonts w:ascii="Trebuchet MS" w:eastAsia="Trebuchet MS" w:hAnsi="Trebuchet MS" w:cs="Trebuchet MS"/>
              <w:b/>
              <w:color w:val="000000"/>
            </w:rPr>
            <w:tab/>
            <w:t>13</w:t>
          </w:r>
          <w:r>
            <w:fldChar w:fldCharType="end"/>
          </w:r>
        </w:p>
        <w:p w14:paraId="30F640A6"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f3fjf0vbxxmr">
            <w:r>
              <w:rPr>
                <w:rFonts w:ascii="Trebuchet MS" w:eastAsia="Trebuchet MS" w:hAnsi="Trebuchet MS" w:cs="Trebuchet MS"/>
                <w:b/>
                <w:smallCaps/>
                <w:color w:val="000000"/>
              </w:rPr>
              <w:t>3.</w:t>
            </w:r>
          </w:hyperlink>
          <w:hyperlink w:anchor="_heading=h.f3fjf0vbxxmr">
            <w:r>
              <w:rPr>
                <w:rFonts w:ascii="Trebuchet MS" w:eastAsia="Trebuchet MS" w:hAnsi="Trebuchet MS" w:cs="Trebuchet MS"/>
                <w:color w:val="000000"/>
                <w:sz w:val="22"/>
                <w:szCs w:val="22"/>
              </w:rPr>
              <w:tab/>
            </w:r>
          </w:hyperlink>
          <w:r>
            <w:fldChar w:fldCharType="begin"/>
          </w:r>
          <w:r>
            <w:instrText xml:space="preserve"> PAGEREF _heading=h.f3fjf0vbxxmr \h </w:instrText>
          </w:r>
          <w:r>
            <w:fldChar w:fldCharType="separate"/>
          </w:r>
          <w:r>
            <w:rPr>
              <w:rFonts w:ascii="Trebuchet MS" w:eastAsia="Trebuchet MS" w:hAnsi="Trebuchet MS" w:cs="Trebuchet MS"/>
              <w:b/>
              <w:smallCaps/>
              <w:color w:val="000000"/>
            </w:rPr>
            <w:t>Strategic framework</w:t>
          </w:r>
          <w:r>
            <w:rPr>
              <w:rFonts w:ascii="Trebuchet MS" w:eastAsia="Trebuchet MS" w:hAnsi="Trebuchet MS" w:cs="Trebuchet MS"/>
              <w:b/>
              <w:smallCaps/>
              <w:color w:val="000000"/>
            </w:rPr>
            <w:tab/>
            <w:t>17</w:t>
          </w:r>
          <w:r>
            <w:fldChar w:fldCharType="end"/>
          </w:r>
        </w:p>
        <w:p w14:paraId="721AE2EA"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px2jxzgt69s8">
            <w:r>
              <w:rPr>
                <w:rFonts w:ascii="Trebuchet MS" w:eastAsia="Trebuchet MS" w:hAnsi="Trebuchet MS" w:cs="Trebuchet MS"/>
                <w:b/>
                <w:smallCaps/>
                <w:color w:val="000000"/>
              </w:rPr>
              <w:t>4.</w:t>
            </w:r>
          </w:hyperlink>
          <w:hyperlink w:anchor="_heading=h.px2jxzgt69s8">
            <w:r>
              <w:rPr>
                <w:rFonts w:ascii="Trebuchet MS" w:eastAsia="Trebuchet MS" w:hAnsi="Trebuchet MS" w:cs="Trebuchet MS"/>
                <w:color w:val="000000"/>
                <w:sz w:val="22"/>
                <w:szCs w:val="22"/>
              </w:rPr>
              <w:tab/>
            </w:r>
          </w:hyperlink>
          <w:r>
            <w:fldChar w:fldCharType="begin"/>
          </w:r>
          <w:r>
            <w:instrText xml:space="preserve"> PAGEREF _heading=h.px2jxzgt69s8 \h </w:instrText>
          </w:r>
          <w:r>
            <w:fldChar w:fldCharType="separate"/>
          </w:r>
          <w:r>
            <w:rPr>
              <w:rFonts w:ascii="Trebuchet MS" w:eastAsia="Trebuchet MS" w:hAnsi="Trebuchet MS" w:cs="Trebuchet MS"/>
              <w:b/>
              <w:smallCaps/>
              <w:color w:val="000000"/>
            </w:rPr>
            <w:t>Actionable measures</w:t>
          </w:r>
          <w:r>
            <w:rPr>
              <w:rFonts w:ascii="Trebuchet MS" w:eastAsia="Trebuchet MS" w:hAnsi="Trebuchet MS" w:cs="Trebuchet MS"/>
              <w:b/>
              <w:smallCaps/>
              <w:color w:val="000000"/>
            </w:rPr>
            <w:tab/>
            <w:t>20</w:t>
          </w:r>
          <w:r>
            <w:fldChar w:fldCharType="end"/>
          </w:r>
        </w:p>
        <w:p w14:paraId="0C801735"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hr7mcv9sm6fq">
            <w:r>
              <w:rPr>
                <w:rFonts w:ascii="Trebuchet MS" w:eastAsia="Trebuchet MS" w:hAnsi="Trebuchet MS" w:cs="Trebuchet MS"/>
                <w:b/>
                <w:color w:val="000000"/>
              </w:rPr>
              <w:t>4.1.</w:t>
            </w:r>
          </w:hyperlink>
          <w:hyperlink w:anchor="_heading=h.hr7mcv9sm6fq">
            <w:r>
              <w:rPr>
                <w:rFonts w:ascii="Trebuchet MS" w:eastAsia="Trebuchet MS" w:hAnsi="Trebuchet MS" w:cs="Trebuchet MS"/>
                <w:color w:val="000000"/>
                <w:sz w:val="22"/>
                <w:szCs w:val="22"/>
              </w:rPr>
              <w:tab/>
            </w:r>
          </w:hyperlink>
          <w:r>
            <w:fldChar w:fldCharType="begin"/>
          </w:r>
          <w:r>
            <w:instrText xml:space="preserve"> PAGEREF _heading=h.hr7mcv9sm6fq \h </w:instrText>
          </w:r>
          <w:r>
            <w:fldChar w:fldCharType="separate"/>
          </w:r>
          <w:r>
            <w:rPr>
              <w:rFonts w:ascii="Trebuchet MS" w:eastAsia="Trebuchet MS" w:hAnsi="Trebuchet MS" w:cs="Trebuchet MS"/>
              <w:b/>
              <w:color w:val="000000"/>
            </w:rPr>
            <w:t>Action 1- Organize Training in Decorative Wood-Based Skills (g)</w:t>
          </w:r>
          <w:r>
            <w:rPr>
              <w:rFonts w:ascii="Trebuchet MS" w:eastAsia="Trebuchet MS" w:hAnsi="Trebuchet MS" w:cs="Trebuchet MS"/>
              <w:b/>
              <w:color w:val="000000"/>
            </w:rPr>
            <w:tab/>
            <w:t>23</w:t>
          </w:r>
          <w:r>
            <w:fldChar w:fldCharType="end"/>
          </w:r>
        </w:p>
        <w:p w14:paraId="29070AD2"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s56dwx39kxcs">
            <w:r>
              <w:rPr>
                <w:rFonts w:ascii="Trebuchet MS" w:eastAsia="Trebuchet MS" w:hAnsi="Trebuchet MS" w:cs="Trebuchet MS"/>
                <w:color w:val="000000"/>
              </w:rPr>
              <w:t>4.1.1.</w:t>
            </w:r>
          </w:hyperlink>
          <w:hyperlink w:anchor="_heading=h.s56dwx39kxcs">
            <w:r>
              <w:rPr>
                <w:rFonts w:ascii="Trebuchet MS" w:eastAsia="Trebuchet MS" w:hAnsi="Trebuchet MS" w:cs="Trebuchet MS"/>
                <w:color w:val="000000"/>
                <w:sz w:val="22"/>
                <w:szCs w:val="22"/>
              </w:rPr>
              <w:tab/>
            </w:r>
          </w:hyperlink>
          <w:r>
            <w:fldChar w:fldCharType="begin"/>
          </w:r>
          <w:r>
            <w:instrText xml:space="preserve"> PAGEREF _heading=h.s56dwx39kxcs \h </w:instrText>
          </w:r>
          <w:r>
            <w:fldChar w:fldCharType="separate"/>
          </w:r>
          <w:r>
            <w:rPr>
              <w:rFonts w:ascii="Trebuchet MS" w:eastAsia="Trebuchet MS" w:hAnsi="Trebuchet MS" w:cs="Trebuchet MS"/>
              <w:color w:val="000000"/>
            </w:rPr>
            <w:t>Relevance of the measure</w:t>
          </w:r>
          <w:r>
            <w:rPr>
              <w:rFonts w:ascii="Trebuchet MS" w:eastAsia="Trebuchet MS" w:hAnsi="Trebuchet MS" w:cs="Trebuchet MS"/>
              <w:color w:val="000000"/>
            </w:rPr>
            <w:tab/>
            <w:t>23</w:t>
          </w:r>
          <w:r>
            <w:fldChar w:fldCharType="end"/>
          </w:r>
        </w:p>
        <w:p w14:paraId="0E36E778"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jq1t35s7h6ut">
            <w:r>
              <w:rPr>
                <w:rFonts w:ascii="Trebuchet MS" w:eastAsia="Trebuchet MS" w:hAnsi="Trebuchet MS" w:cs="Trebuchet MS"/>
                <w:color w:val="000000"/>
              </w:rPr>
              <w:t>4.1.2</w:t>
            </w:r>
          </w:hyperlink>
          <w:hyperlink w:anchor="_heading=h.jq1t35s7h6ut">
            <w:r>
              <w:rPr>
                <w:rFonts w:ascii="Trebuchet MS" w:eastAsia="Trebuchet MS" w:hAnsi="Trebuchet MS" w:cs="Trebuchet MS"/>
                <w:color w:val="000000"/>
                <w:sz w:val="22"/>
                <w:szCs w:val="22"/>
              </w:rPr>
              <w:tab/>
            </w:r>
          </w:hyperlink>
          <w:r>
            <w:fldChar w:fldCharType="begin"/>
          </w:r>
          <w:r>
            <w:instrText xml:space="preserve"> PAGEREF _heading=h.jq1t35s7h6ut \h </w:instrText>
          </w:r>
          <w:r>
            <w:fldChar w:fldCharType="separate"/>
          </w:r>
          <w:r>
            <w:rPr>
              <w:rFonts w:ascii="Trebuchet MS" w:eastAsia="Trebuchet MS" w:hAnsi="Trebuchet MS" w:cs="Trebuchet MS"/>
              <w:color w:val="000000"/>
            </w:rPr>
            <w:t>Nature of the action</w:t>
          </w:r>
          <w:r>
            <w:rPr>
              <w:rFonts w:ascii="Trebuchet MS" w:eastAsia="Trebuchet MS" w:hAnsi="Trebuchet MS" w:cs="Trebuchet MS"/>
              <w:color w:val="000000"/>
            </w:rPr>
            <w:tab/>
            <w:t>23</w:t>
          </w:r>
          <w:r>
            <w:fldChar w:fldCharType="end"/>
          </w:r>
        </w:p>
        <w:p w14:paraId="6B5A9D84"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pk41v9x2zfdt">
            <w:r>
              <w:rPr>
                <w:rFonts w:ascii="Trebuchet MS" w:eastAsia="Trebuchet MS" w:hAnsi="Trebuchet MS" w:cs="Trebuchet MS"/>
                <w:color w:val="000000"/>
              </w:rPr>
              <w:t>4.1.3.</w:t>
            </w:r>
          </w:hyperlink>
          <w:hyperlink w:anchor="_heading=h.pk41v9x2zfdt">
            <w:r>
              <w:rPr>
                <w:rFonts w:ascii="Trebuchet MS" w:eastAsia="Trebuchet MS" w:hAnsi="Trebuchet MS" w:cs="Trebuchet MS"/>
                <w:color w:val="000000"/>
                <w:sz w:val="22"/>
                <w:szCs w:val="22"/>
              </w:rPr>
              <w:tab/>
            </w:r>
          </w:hyperlink>
          <w:r>
            <w:fldChar w:fldCharType="begin"/>
          </w:r>
          <w:r>
            <w:instrText xml:space="preserve"> PAGEREF _heading=h.pk41v9x2zfdt \h </w:instrText>
          </w:r>
          <w:r>
            <w:fldChar w:fldCharType="separate"/>
          </w:r>
          <w:r>
            <w:rPr>
              <w:rFonts w:ascii="Trebuchet MS" w:eastAsia="Trebuchet MS" w:hAnsi="Trebuchet MS" w:cs="Trebuchet MS"/>
              <w:color w:val="000000"/>
            </w:rPr>
            <w:t>Activities performed under the Action</w:t>
          </w:r>
          <w:r>
            <w:rPr>
              <w:rFonts w:ascii="Trebuchet MS" w:eastAsia="Trebuchet MS" w:hAnsi="Trebuchet MS" w:cs="Trebuchet MS"/>
              <w:color w:val="000000"/>
            </w:rPr>
            <w:tab/>
            <w:t>23</w:t>
          </w:r>
          <w:r>
            <w:fldChar w:fldCharType="end"/>
          </w:r>
        </w:p>
        <w:p w14:paraId="0E59B044"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r3btzg8tehqs">
            <w:r>
              <w:rPr>
                <w:rFonts w:ascii="Trebuchet MS" w:eastAsia="Trebuchet MS" w:hAnsi="Trebuchet MS" w:cs="Trebuchet MS"/>
                <w:color w:val="000000"/>
              </w:rPr>
              <w:t>4.1.4.</w:t>
            </w:r>
          </w:hyperlink>
          <w:hyperlink w:anchor="_heading=h.r3btzg8tehqs">
            <w:r>
              <w:rPr>
                <w:rFonts w:ascii="Trebuchet MS" w:eastAsia="Trebuchet MS" w:hAnsi="Trebuchet MS" w:cs="Trebuchet MS"/>
                <w:color w:val="000000"/>
                <w:sz w:val="22"/>
                <w:szCs w:val="22"/>
              </w:rPr>
              <w:tab/>
            </w:r>
          </w:hyperlink>
          <w:r>
            <w:fldChar w:fldCharType="begin"/>
          </w:r>
          <w:r>
            <w:instrText xml:space="preserve"> PAGEREF _heading=h.r3btzg8tehqs \h </w:instrText>
          </w:r>
          <w:r>
            <w:fldChar w:fldCharType="separate"/>
          </w:r>
          <w:r>
            <w:rPr>
              <w:rFonts w:ascii="Trebuchet MS" w:eastAsia="Trebuchet MS" w:hAnsi="Trebuchet MS" w:cs="Trebuchet MS"/>
              <w:color w:val="000000"/>
            </w:rPr>
            <w:t>Potential Danube Wood(s) Cultural Route points involved</w:t>
          </w:r>
          <w:r>
            <w:rPr>
              <w:rFonts w:ascii="Trebuchet MS" w:eastAsia="Trebuchet MS" w:hAnsi="Trebuchet MS" w:cs="Trebuchet MS"/>
              <w:color w:val="000000"/>
            </w:rPr>
            <w:tab/>
            <w:t>24</w:t>
          </w:r>
          <w:r>
            <w:fldChar w:fldCharType="end"/>
          </w:r>
        </w:p>
        <w:p w14:paraId="21CBD5FB"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jlpuxydu18y0">
            <w:r>
              <w:rPr>
                <w:rFonts w:ascii="Trebuchet MS" w:eastAsia="Trebuchet MS" w:hAnsi="Trebuchet MS" w:cs="Trebuchet MS"/>
                <w:color w:val="000000"/>
              </w:rPr>
              <w:t>4.1.5</w:t>
            </w:r>
          </w:hyperlink>
          <w:hyperlink w:anchor="_heading=h.jlpuxydu18y0">
            <w:r>
              <w:rPr>
                <w:rFonts w:ascii="Trebuchet MS" w:eastAsia="Trebuchet MS" w:hAnsi="Trebuchet MS" w:cs="Trebuchet MS"/>
                <w:color w:val="000000"/>
                <w:sz w:val="22"/>
                <w:szCs w:val="22"/>
              </w:rPr>
              <w:tab/>
            </w:r>
          </w:hyperlink>
          <w:r>
            <w:fldChar w:fldCharType="begin"/>
          </w:r>
          <w:r>
            <w:instrText xml:space="preserve"> PAGEREF _heading=h.jlpuxydu18y0 \h </w:instrText>
          </w:r>
          <w:r>
            <w:fldChar w:fldCharType="separate"/>
          </w:r>
          <w:r>
            <w:rPr>
              <w:rFonts w:ascii="Trebuchet MS" w:eastAsia="Trebuchet MS" w:hAnsi="Trebuchet MS" w:cs="Trebuchet MS"/>
              <w:color w:val="000000"/>
            </w:rPr>
            <w:t>Stakeholders involved</w:t>
          </w:r>
          <w:r>
            <w:rPr>
              <w:rFonts w:ascii="Trebuchet MS" w:eastAsia="Trebuchet MS" w:hAnsi="Trebuchet MS" w:cs="Trebuchet MS"/>
              <w:color w:val="000000"/>
            </w:rPr>
            <w:tab/>
            <w:t>24</w:t>
          </w:r>
          <w:r>
            <w:fldChar w:fldCharType="end"/>
          </w:r>
        </w:p>
        <w:p w14:paraId="23DCB748"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9lsuksbksbe8">
            <w:r>
              <w:rPr>
                <w:rFonts w:ascii="Trebuchet MS" w:eastAsia="Trebuchet MS" w:hAnsi="Trebuchet MS" w:cs="Trebuchet MS"/>
                <w:color w:val="000000"/>
              </w:rPr>
              <w:t>4.1.6.</w:t>
            </w:r>
          </w:hyperlink>
          <w:hyperlink w:anchor="_heading=h.9lsuksbksbe8">
            <w:r>
              <w:rPr>
                <w:rFonts w:ascii="Trebuchet MS" w:eastAsia="Trebuchet MS" w:hAnsi="Trebuchet MS" w:cs="Trebuchet MS"/>
                <w:color w:val="000000"/>
                <w:sz w:val="22"/>
                <w:szCs w:val="22"/>
              </w:rPr>
              <w:tab/>
            </w:r>
          </w:hyperlink>
          <w:r>
            <w:fldChar w:fldCharType="begin"/>
          </w:r>
          <w:r>
            <w:instrText xml:space="preserve"> PAGEREF _heading=h.9lsuksbksbe8 \h </w:instrText>
          </w:r>
          <w:r>
            <w:fldChar w:fldCharType="separate"/>
          </w:r>
          <w:r>
            <w:rPr>
              <w:rFonts w:ascii="Trebuchet MS" w:eastAsia="Trebuchet MS" w:hAnsi="Trebuchet MS" w:cs="Trebuchet MS"/>
              <w:color w:val="000000"/>
            </w:rPr>
            <w:t>Timeframe</w:t>
          </w:r>
          <w:r>
            <w:rPr>
              <w:rFonts w:ascii="Trebuchet MS" w:eastAsia="Trebuchet MS" w:hAnsi="Trebuchet MS" w:cs="Trebuchet MS"/>
              <w:color w:val="000000"/>
            </w:rPr>
            <w:tab/>
            <w:t>24</w:t>
          </w:r>
          <w:r>
            <w:fldChar w:fldCharType="end"/>
          </w:r>
        </w:p>
        <w:p w14:paraId="6570085D"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8fj2bu4zd9o7">
            <w:r>
              <w:rPr>
                <w:rFonts w:ascii="Trebuchet MS" w:eastAsia="Trebuchet MS" w:hAnsi="Trebuchet MS" w:cs="Trebuchet MS"/>
                <w:color w:val="000000"/>
              </w:rPr>
              <w:t>4.1.7.</w:t>
            </w:r>
          </w:hyperlink>
          <w:hyperlink w:anchor="_heading=h.8fj2bu4zd9o7">
            <w:r>
              <w:rPr>
                <w:rFonts w:ascii="Trebuchet MS" w:eastAsia="Trebuchet MS" w:hAnsi="Trebuchet MS" w:cs="Trebuchet MS"/>
                <w:color w:val="000000"/>
                <w:sz w:val="22"/>
                <w:szCs w:val="22"/>
              </w:rPr>
              <w:tab/>
            </w:r>
          </w:hyperlink>
          <w:r>
            <w:fldChar w:fldCharType="begin"/>
          </w:r>
          <w:r>
            <w:instrText xml:space="preserve"> PAGEREF _heading=h.8fj2bu4zd9o7 \h </w:instrText>
          </w:r>
          <w:r>
            <w:fldChar w:fldCharType="separate"/>
          </w:r>
          <w:r>
            <w:rPr>
              <w:rFonts w:ascii="Trebuchet MS" w:eastAsia="Trebuchet MS" w:hAnsi="Trebuchet MS" w:cs="Trebuchet MS"/>
              <w:color w:val="000000"/>
            </w:rPr>
            <w:t>Indicative costs</w:t>
          </w:r>
          <w:r>
            <w:rPr>
              <w:rFonts w:ascii="Trebuchet MS" w:eastAsia="Trebuchet MS" w:hAnsi="Trebuchet MS" w:cs="Trebuchet MS"/>
              <w:color w:val="000000"/>
            </w:rPr>
            <w:tab/>
            <w:t>24</w:t>
          </w:r>
          <w:r>
            <w:fldChar w:fldCharType="end"/>
          </w:r>
        </w:p>
        <w:p w14:paraId="15FDD55E"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botvasf0ipvb">
            <w:r>
              <w:rPr>
                <w:rFonts w:ascii="Trebuchet MS" w:eastAsia="Trebuchet MS" w:hAnsi="Trebuchet MS" w:cs="Trebuchet MS"/>
                <w:color w:val="000000"/>
              </w:rPr>
              <w:t>4.1.8.</w:t>
            </w:r>
          </w:hyperlink>
          <w:hyperlink w:anchor="_heading=h.botvasf0ipvb">
            <w:r>
              <w:rPr>
                <w:rFonts w:ascii="Trebuchet MS" w:eastAsia="Trebuchet MS" w:hAnsi="Trebuchet MS" w:cs="Trebuchet MS"/>
                <w:color w:val="000000"/>
                <w:sz w:val="22"/>
                <w:szCs w:val="22"/>
              </w:rPr>
              <w:tab/>
            </w:r>
          </w:hyperlink>
          <w:r>
            <w:fldChar w:fldCharType="begin"/>
          </w:r>
          <w:r>
            <w:instrText xml:space="preserve"> PAGEREF _heading=h.botvasf0ipvb \h </w:instrText>
          </w:r>
          <w:r>
            <w:fldChar w:fldCharType="separate"/>
          </w:r>
          <w:r>
            <w:rPr>
              <w:rFonts w:ascii="Trebuchet MS" w:eastAsia="Trebuchet MS" w:hAnsi="Trebuchet MS" w:cs="Trebuchet MS"/>
              <w:color w:val="000000"/>
            </w:rPr>
            <w:t>Output and result indicators</w:t>
          </w:r>
          <w:r>
            <w:rPr>
              <w:rFonts w:ascii="Trebuchet MS" w:eastAsia="Trebuchet MS" w:hAnsi="Trebuchet MS" w:cs="Trebuchet MS"/>
              <w:color w:val="000000"/>
            </w:rPr>
            <w:tab/>
            <w:t>24</w:t>
          </w:r>
          <w:r>
            <w:fldChar w:fldCharType="end"/>
          </w:r>
        </w:p>
        <w:p w14:paraId="45EF3B1C"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d0ho48eyou7e">
            <w:r>
              <w:rPr>
                <w:rFonts w:ascii="Trebuchet MS" w:eastAsia="Trebuchet MS" w:hAnsi="Trebuchet MS" w:cs="Trebuchet MS"/>
                <w:b/>
                <w:color w:val="000000"/>
              </w:rPr>
              <w:t>4.2.</w:t>
            </w:r>
          </w:hyperlink>
          <w:hyperlink w:anchor="_heading=h.d0ho48eyou7e">
            <w:r>
              <w:rPr>
                <w:rFonts w:ascii="Trebuchet MS" w:eastAsia="Trebuchet MS" w:hAnsi="Trebuchet MS" w:cs="Trebuchet MS"/>
                <w:color w:val="000000"/>
                <w:sz w:val="22"/>
                <w:szCs w:val="22"/>
              </w:rPr>
              <w:tab/>
            </w:r>
          </w:hyperlink>
          <w:r>
            <w:fldChar w:fldCharType="begin"/>
          </w:r>
          <w:r>
            <w:instrText xml:space="preserve"> PAGEREF _heading=h.d0ho48eyou7e \h </w:instrText>
          </w:r>
          <w:r>
            <w:fldChar w:fldCharType="separate"/>
          </w:r>
          <w:r>
            <w:rPr>
              <w:rFonts w:ascii="Trebuchet MS" w:eastAsia="Trebuchet MS" w:hAnsi="Trebuchet MS" w:cs="Trebuchet MS"/>
              <w:b/>
              <w:color w:val="000000"/>
            </w:rPr>
            <w:t>Protection of Katuns and Cultural Landscapes (a)</w:t>
          </w:r>
          <w:r>
            <w:rPr>
              <w:rFonts w:ascii="Trebuchet MS" w:eastAsia="Trebuchet MS" w:hAnsi="Trebuchet MS" w:cs="Trebuchet MS"/>
              <w:b/>
              <w:color w:val="000000"/>
            </w:rPr>
            <w:tab/>
            <w:t>25</w:t>
          </w:r>
          <w:r>
            <w:fldChar w:fldCharType="end"/>
          </w:r>
        </w:p>
        <w:p w14:paraId="05BB7159"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v25ss6yv6acf">
            <w:r>
              <w:rPr>
                <w:rFonts w:ascii="Trebuchet MS" w:eastAsia="Trebuchet MS" w:hAnsi="Trebuchet MS" w:cs="Trebuchet MS"/>
                <w:color w:val="000000"/>
              </w:rPr>
              <w:t>4.2.1.</w:t>
            </w:r>
          </w:hyperlink>
          <w:hyperlink w:anchor="_heading=h.v25ss6yv6acf">
            <w:r>
              <w:rPr>
                <w:rFonts w:ascii="Trebuchet MS" w:eastAsia="Trebuchet MS" w:hAnsi="Trebuchet MS" w:cs="Trebuchet MS"/>
                <w:color w:val="000000"/>
                <w:sz w:val="22"/>
                <w:szCs w:val="22"/>
              </w:rPr>
              <w:tab/>
            </w:r>
          </w:hyperlink>
          <w:r>
            <w:fldChar w:fldCharType="begin"/>
          </w:r>
          <w:r>
            <w:instrText xml:space="preserve"> PAGEREF _heading=h.v25ss6yv6acf \h </w:instrText>
          </w:r>
          <w:r>
            <w:fldChar w:fldCharType="separate"/>
          </w:r>
          <w:r>
            <w:rPr>
              <w:rFonts w:ascii="Trebuchet MS" w:eastAsia="Trebuchet MS" w:hAnsi="Trebuchet MS" w:cs="Trebuchet MS"/>
              <w:color w:val="000000"/>
            </w:rPr>
            <w:t>Relevance of the measure</w:t>
          </w:r>
          <w:r>
            <w:rPr>
              <w:rFonts w:ascii="Trebuchet MS" w:eastAsia="Trebuchet MS" w:hAnsi="Trebuchet MS" w:cs="Trebuchet MS"/>
              <w:color w:val="000000"/>
            </w:rPr>
            <w:tab/>
            <w:t>25</w:t>
          </w:r>
          <w:r>
            <w:fldChar w:fldCharType="end"/>
          </w:r>
        </w:p>
        <w:p w14:paraId="02F82473"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k3284myuuqbd">
            <w:r>
              <w:rPr>
                <w:rFonts w:ascii="Trebuchet MS" w:eastAsia="Trebuchet MS" w:hAnsi="Trebuchet MS" w:cs="Trebuchet MS"/>
                <w:color w:val="000000"/>
              </w:rPr>
              <w:t>4.2.2.</w:t>
            </w:r>
          </w:hyperlink>
          <w:hyperlink w:anchor="_heading=h.k3284myuuqbd">
            <w:r>
              <w:rPr>
                <w:rFonts w:ascii="Trebuchet MS" w:eastAsia="Trebuchet MS" w:hAnsi="Trebuchet MS" w:cs="Trebuchet MS"/>
                <w:color w:val="000000"/>
                <w:sz w:val="22"/>
                <w:szCs w:val="22"/>
              </w:rPr>
              <w:tab/>
            </w:r>
          </w:hyperlink>
          <w:r>
            <w:fldChar w:fldCharType="begin"/>
          </w:r>
          <w:r>
            <w:instrText xml:space="preserve"> PAGEREF _heading=h.k3284myuuqbd \h </w:instrText>
          </w:r>
          <w:r>
            <w:fldChar w:fldCharType="separate"/>
          </w:r>
          <w:r>
            <w:rPr>
              <w:rFonts w:ascii="Trebuchet MS" w:eastAsia="Trebuchet MS" w:hAnsi="Trebuchet MS" w:cs="Trebuchet MS"/>
              <w:color w:val="000000"/>
            </w:rPr>
            <w:t>Nature of the action</w:t>
          </w:r>
          <w:r>
            <w:rPr>
              <w:rFonts w:ascii="Trebuchet MS" w:eastAsia="Trebuchet MS" w:hAnsi="Trebuchet MS" w:cs="Trebuchet MS"/>
              <w:color w:val="000000"/>
            </w:rPr>
            <w:tab/>
            <w:t>25</w:t>
          </w:r>
          <w:r>
            <w:fldChar w:fldCharType="end"/>
          </w:r>
        </w:p>
        <w:p w14:paraId="049AFD56"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25f42z2quj6v">
            <w:r>
              <w:rPr>
                <w:rFonts w:ascii="Trebuchet MS" w:eastAsia="Trebuchet MS" w:hAnsi="Trebuchet MS" w:cs="Trebuchet MS"/>
                <w:color w:val="000000"/>
              </w:rPr>
              <w:t>4.2.3.</w:t>
            </w:r>
          </w:hyperlink>
          <w:hyperlink w:anchor="_heading=h.25f42z2quj6v">
            <w:r>
              <w:rPr>
                <w:rFonts w:ascii="Trebuchet MS" w:eastAsia="Trebuchet MS" w:hAnsi="Trebuchet MS" w:cs="Trebuchet MS"/>
                <w:color w:val="000000"/>
                <w:sz w:val="22"/>
                <w:szCs w:val="22"/>
              </w:rPr>
              <w:tab/>
            </w:r>
          </w:hyperlink>
          <w:r>
            <w:fldChar w:fldCharType="begin"/>
          </w:r>
          <w:r>
            <w:instrText xml:space="preserve"> PAGEREF _heading=h.25f42z2quj6v \h </w:instrText>
          </w:r>
          <w:r>
            <w:fldChar w:fldCharType="separate"/>
          </w:r>
          <w:r>
            <w:rPr>
              <w:rFonts w:ascii="Trebuchet MS" w:eastAsia="Trebuchet MS" w:hAnsi="Trebuchet MS" w:cs="Trebuchet MS"/>
              <w:color w:val="000000"/>
            </w:rPr>
            <w:t>Activities performed under the Action</w:t>
          </w:r>
          <w:r>
            <w:rPr>
              <w:rFonts w:ascii="Trebuchet MS" w:eastAsia="Trebuchet MS" w:hAnsi="Trebuchet MS" w:cs="Trebuchet MS"/>
              <w:color w:val="000000"/>
            </w:rPr>
            <w:tab/>
            <w:t>25</w:t>
          </w:r>
          <w:r>
            <w:fldChar w:fldCharType="end"/>
          </w:r>
        </w:p>
        <w:p w14:paraId="48F59081"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vhi7ek5sfy29">
            <w:r>
              <w:rPr>
                <w:rFonts w:ascii="Trebuchet MS" w:eastAsia="Trebuchet MS" w:hAnsi="Trebuchet MS" w:cs="Trebuchet MS"/>
                <w:color w:val="000000"/>
              </w:rPr>
              <w:t>4.2.4.</w:t>
            </w:r>
          </w:hyperlink>
          <w:hyperlink w:anchor="_heading=h.vhi7ek5sfy29">
            <w:r>
              <w:rPr>
                <w:rFonts w:ascii="Trebuchet MS" w:eastAsia="Trebuchet MS" w:hAnsi="Trebuchet MS" w:cs="Trebuchet MS"/>
                <w:color w:val="000000"/>
                <w:sz w:val="22"/>
                <w:szCs w:val="22"/>
              </w:rPr>
              <w:tab/>
            </w:r>
          </w:hyperlink>
          <w:r>
            <w:fldChar w:fldCharType="begin"/>
          </w:r>
          <w:r>
            <w:instrText xml:space="preserve"> PAGEREF _heading=h.vhi7ek5sfy29 \h </w:instrText>
          </w:r>
          <w:r>
            <w:fldChar w:fldCharType="separate"/>
          </w:r>
          <w:r>
            <w:rPr>
              <w:rFonts w:ascii="Trebuchet MS" w:eastAsia="Trebuchet MS" w:hAnsi="Trebuchet MS" w:cs="Trebuchet MS"/>
              <w:color w:val="000000"/>
            </w:rPr>
            <w:t>Potential Danube Wood(s) Cultural Route points involved</w:t>
          </w:r>
          <w:r>
            <w:rPr>
              <w:rFonts w:ascii="Trebuchet MS" w:eastAsia="Trebuchet MS" w:hAnsi="Trebuchet MS" w:cs="Trebuchet MS"/>
              <w:color w:val="000000"/>
            </w:rPr>
            <w:tab/>
            <w:t>26</w:t>
          </w:r>
          <w:r>
            <w:fldChar w:fldCharType="end"/>
          </w:r>
        </w:p>
        <w:p w14:paraId="0FB5818B"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xax2k8pt41xe">
            <w:r>
              <w:rPr>
                <w:rFonts w:ascii="Trebuchet MS" w:eastAsia="Trebuchet MS" w:hAnsi="Trebuchet MS" w:cs="Trebuchet MS"/>
                <w:color w:val="000000"/>
              </w:rPr>
              <w:t>4.2.5.</w:t>
            </w:r>
          </w:hyperlink>
          <w:hyperlink w:anchor="_heading=h.xax2k8pt41xe">
            <w:r>
              <w:rPr>
                <w:rFonts w:ascii="Trebuchet MS" w:eastAsia="Trebuchet MS" w:hAnsi="Trebuchet MS" w:cs="Trebuchet MS"/>
                <w:color w:val="000000"/>
                <w:sz w:val="22"/>
                <w:szCs w:val="22"/>
              </w:rPr>
              <w:tab/>
            </w:r>
          </w:hyperlink>
          <w:r>
            <w:fldChar w:fldCharType="begin"/>
          </w:r>
          <w:r>
            <w:instrText xml:space="preserve"> PAGEREF _heading=h.xax2k8pt41xe \h </w:instrText>
          </w:r>
          <w:r>
            <w:fldChar w:fldCharType="separate"/>
          </w:r>
          <w:r>
            <w:rPr>
              <w:rFonts w:ascii="Trebuchet MS" w:eastAsia="Trebuchet MS" w:hAnsi="Trebuchet MS" w:cs="Trebuchet MS"/>
              <w:color w:val="000000"/>
            </w:rPr>
            <w:t>Stakeholders involved</w:t>
          </w:r>
          <w:r>
            <w:rPr>
              <w:rFonts w:ascii="Trebuchet MS" w:eastAsia="Trebuchet MS" w:hAnsi="Trebuchet MS" w:cs="Trebuchet MS"/>
              <w:color w:val="000000"/>
            </w:rPr>
            <w:tab/>
            <w:t>26</w:t>
          </w:r>
          <w:r>
            <w:fldChar w:fldCharType="end"/>
          </w:r>
        </w:p>
        <w:p w14:paraId="41377023"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ghrh7xwbr742">
            <w:r>
              <w:rPr>
                <w:rFonts w:ascii="Trebuchet MS" w:eastAsia="Trebuchet MS" w:hAnsi="Trebuchet MS" w:cs="Trebuchet MS"/>
                <w:color w:val="000000"/>
              </w:rPr>
              <w:t>4.2.6.</w:t>
            </w:r>
          </w:hyperlink>
          <w:hyperlink w:anchor="_heading=h.ghrh7xwbr742">
            <w:r>
              <w:rPr>
                <w:rFonts w:ascii="Trebuchet MS" w:eastAsia="Trebuchet MS" w:hAnsi="Trebuchet MS" w:cs="Trebuchet MS"/>
                <w:color w:val="000000"/>
                <w:sz w:val="22"/>
                <w:szCs w:val="22"/>
              </w:rPr>
              <w:tab/>
            </w:r>
          </w:hyperlink>
          <w:r>
            <w:fldChar w:fldCharType="begin"/>
          </w:r>
          <w:r>
            <w:instrText xml:space="preserve"> PAGEREF _heading=h.ghrh7xwbr742 \h </w:instrText>
          </w:r>
          <w:r>
            <w:fldChar w:fldCharType="separate"/>
          </w:r>
          <w:r>
            <w:rPr>
              <w:rFonts w:ascii="Trebuchet MS" w:eastAsia="Trebuchet MS" w:hAnsi="Trebuchet MS" w:cs="Trebuchet MS"/>
              <w:color w:val="000000"/>
            </w:rPr>
            <w:t>Timeframe</w:t>
          </w:r>
          <w:r>
            <w:rPr>
              <w:rFonts w:ascii="Trebuchet MS" w:eastAsia="Trebuchet MS" w:hAnsi="Trebuchet MS" w:cs="Trebuchet MS"/>
              <w:color w:val="000000"/>
            </w:rPr>
            <w:tab/>
            <w:t>26</w:t>
          </w:r>
          <w:r>
            <w:fldChar w:fldCharType="end"/>
          </w:r>
        </w:p>
        <w:p w14:paraId="06D5C2DD"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70g8eqsb6zhb">
            <w:r>
              <w:rPr>
                <w:rFonts w:ascii="Trebuchet MS" w:eastAsia="Trebuchet MS" w:hAnsi="Trebuchet MS" w:cs="Trebuchet MS"/>
                <w:color w:val="000000"/>
              </w:rPr>
              <w:t>4.2.7.</w:t>
            </w:r>
          </w:hyperlink>
          <w:hyperlink w:anchor="_heading=h.70g8eqsb6zhb">
            <w:r>
              <w:rPr>
                <w:rFonts w:ascii="Trebuchet MS" w:eastAsia="Trebuchet MS" w:hAnsi="Trebuchet MS" w:cs="Trebuchet MS"/>
                <w:color w:val="000000"/>
                <w:sz w:val="22"/>
                <w:szCs w:val="22"/>
              </w:rPr>
              <w:tab/>
            </w:r>
          </w:hyperlink>
          <w:r>
            <w:fldChar w:fldCharType="begin"/>
          </w:r>
          <w:r>
            <w:instrText xml:space="preserve"> PAGEREF _heading=h.70g8eqsb6zhb \h </w:instrText>
          </w:r>
          <w:r>
            <w:fldChar w:fldCharType="separate"/>
          </w:r>
          <w:r>
            <w:rPr>
              <w:rFonts w:ascii="Trebuchet MS" w:eastAsia="Trebuchet MS" w:hAnsi="Trebuchet MS" w:cs="Trebuchet MS"/>
              <w:color w:val="000000"/>
            </w:rPr>
            <w:t>Indicative costs</w:t>
          </w:r>
          <w:r>
            <w:rPr>
              <w:rFonts w:ascii="Trebuchet MS" w:eastAsia="Trebuchet MS" w:hAnsi="Trebuchet MS" w:cs="Trebuchet MS"/>
              <w:color w:val="000000"/>
            </w:rPr>
            <w:tab/>
            <w:t>27</w:t>
          </w:r>
          <w:r>
            <w:fldChar w:fldCharType="end"/>
          </w:r>
        </w:p>
        <w:p w14:paraId="51A14B16" w14:textId="77777777" w:rsidR="00E24EC1" w:rsidRDefault="00000000">
          <w:pPr>
            <w:pBdr>
              <w:top w:val="nil"/>
              <w:left w:val="nil"/>
              <w:bottom w:val="nil"/>
              <w:right w:val="nil"/>
              <w:between w:val="nil"/>
            </w:pBdr>
            <w:tabs>
              <w:tab w:val="left" w:pos="1400"/>
              <w:tab w:val="right" w:pos="9065"/>
            </w:tabs>
            <w:ind w:left="510" w:right="340"/>
            <w:rPr>
              <w:rFonts w:ascii="Trebuchet MS" w:eastAsia="Trebuchet MS" w:hAnsi="Trebuchet MS" w:cs="Trebuchet MS"/>
              <w:color w:val="000000"/>
              <w:sz w:val="22"/>
              <w:szCs w:val="22"/>
            </w:rPr>
          </w:pPr>
          <w:hyperlink w:anchor="_heading=h.yk49arr48zw9">
            <w:r>
              <w:rPr>
                <w:rFonts w:ascii="Trebuchet MS" w:eastAsia="Trebuchet MS" w:hAnsi="Trebuchet MS" w:cs="Trebuchet MS"/>
                <w:color w:val="000000"/>
              </w:rPr>
              <w:t>4.2.8.</w:t>
            </w:r>
          </w:hyperlink>
          <w:hyperlink w:anchor="_heading=h.yk49arr48zw9">
            <w:r>
              <w:rPr>
                <w:rFonts w:ascii="Trebuchet MS" w:eastAsia="Trebuchet MS" w:hAnsi="Trebuchet MS" w:cs="Trebuchet MS"/>
                <w:color w:val="000000"/>
                <w:sz w:val="22"/>
                <w:szCs w:val="22"/>
              </w:rPr>
              <w:tab/>
            </w:r>
          </w:hyperlink>
          <w:r>
            <w:fldChar w:fldCharType="begin"/>
          </w:r>
          <w:r>
            <w:instrText xml:space="preserve"> PAGEREF _heading=h.yk49arr48zw9 \h </w:instrText>
          </w:r>
          <w:r>
            <w:fldChar w:fldCharType="separate"/>
          </w:r>
          <w:r>
            <w:rPr>
              <w:rFonts w:ascii="Trebuchet MS" w:eastAsia="Trebuchet MS" w:hAnsi="Trebuchet MS" w:cs="Trebuchet MS"/>
              <w:color w:val="000000"/>
            </w:rPr>
            <w:t>Output and result indicators</w:t>
          </w:r>
          <w:r>
            <w:rPr>
              <w:rFonts w:ascii="Trebuchet MS" w:eastAsia="Trebuchet MS" w:hAnsi="Trebuchet MS" w:cs="Trebuchet MS"/>
              <w:color w:val="000000"/>
            </w:rPr>
            <w:tab/>
            <w:t>27</w:t>
          </w:r>
          <w:r>
            <w:fldChar w:fldCharType="end"/>
          </w:r>
        </w:p>
        <w:p w14:paraId="33CA6AAD"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y6e953le45sl">
            <w:r>
              <w:rPr>
                <w:rFonts w:ascii="Trebuchet MS" w:eastAsia="Trebuchet MS" w:hAnsi="Trebuchet MS" w:cs="Trebuchet MS"/>
                <w:b/>
                <w:smallCaps/>
                <w:color w:val="000000"/>
              </w:rPr>
              <w:t>5.</w:t>
            </w:r>
          </w:hyperlink>
          <w:hyperlink w:anchor="_heading=h.y6e953le45sl">
            <w:r>
              <w:rPr>
                <w:rFonts w:ascii="Trebuchet MS" w:eastAsia="Trebuchet MS" w:hAnsi="Trebuchet MS" w:cs="Trebuchet MS"/>
                <w:color w:val="000000"/>
                <w:sz w:val="22"/>
                <w:szCs w:val="22"/>
              </w:rPr>
              <w:tab/>
            </w:r>
          </w:hyperlink>
          <w:r>
            <w:fldChar w:fldCharType="begin"/>
          </w:r>
          <w:r>
            <w:instrText xml:space="preserve"> PAGEREF _heading=h.y6e953le45sl \h </w:instrText>
          </w:r>
          <w:r>
            <w:fldChar w:fldCharType="separate"/>
          </w:r>
          <w:r>
            <w:rPr>
              <w:rFonts w:ascii="Trebuchet MS" w:eastAsia="Trebuchet MS" w:hAnsi="Trebuchet MS" w:cs="Trebuchet MS"/>
              <w:b/>
              <w:smallCaps/>
              <w:color w:val="000000"/>
            </w:rPr>
            <w:t>Implementation plan and monitoring system</w:t>
          </w:r>
          <w:r>
            <w:rPr>
              <w:rFonts w:ascii="Trebuchet MS" w:eastAsia="Trebuchet MS" w:hAnsi="Trebuchet MS" w:cs="Trebuchet MS"/>
              <w:b/>
              <w:smallCaps/>
              <w:color w:val="000000"/>
            </w:rPr>
            <w:tab/>
            <w:t>28</w:t>
          </w:r>
          <w:r>
            <w:fldChar w:fldCharType="end"/>
          </w:r>
        </w:p>
        <w:p w14:paraId="776B46F6"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uzwcbriesgm1">
            <w:r>
              <w:rPr>
                <w:rFonts w:ascii="Trebuchet MS" w:eastAsia="Trebuchet MS" w:hAnsi="Trebuchet MS" w:cs="Trebuchet MS"/>
                <w:b/>
                <w:color w:val="000000"/>
              </w:rPr>
              <w:t>5.1.</w:t>
            </w:r>
          </w:hyperlink>
          <w:hyperlink w:anchor="_heading=h.uzwcbriesgm1">
            <w:r>
              <w:rPr>
                <w:rFonts w:ascii="Trebuchet MS" w:eastAsia="Trebuchet MS" w:hAnsi="Trebuchet MS" w:cs="Trebuchet MS"/>
                <w:color w:val="000000"/>
                <w:sz w:val="22"/>
                <w:szCs w:val="22"/>
              </w:rPr>
              <w:tab/>
            </w:r>
          </w:hyperlink>
          <w:r>
            <w:fldChar w:fldCharType="begin"/>
          </w:r>
          <w:r>
            <w:instrText xml:space="preserve"> PAGEREF _heading=h.uzwcbriesgm1 \h </w:instrText>
          </w:r>
          <w:r>
            <w:fldChar w:fldCharType="separate"/>
          </w:r>
          <w:r>
            <w:rPr>
              <w:rFonts w:ascii="Trebuchet MS" w:eastAsia="Trebuchet MS" w:hAnsi="Trebuchet MS" w:cs="Trebuchet MS"/>
              <w:b/>
              <w:color w:val="000000"/>
            </w:rPr>
            <w:t>Monitoring framework</w:t>
          </w:r>
          <w:r>
            <w:rPr>
              <w:rFonts w:ascii="Trebuchet MS" w:eastAsia="Trebuchet MS" w:hAnsi="Trebuchet MS" w:cs="Trebuchet MS"/>
              <w:b/>
              <w:color w:val="000000"/>
            </w:rPr>
            <w:tab/>
            <w:t>28</w:t>
          </w:r>
          <w:r>
            <w:fldChar w:fldCharType="end"/>
          </w:r>
        </w:p>
        <w:p w14:paraId="698E3C95"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cgm6vtcnxfg">
            <w:r>
              <w:rPr>
                <w:rFonts w:ascii="Trebuchet MS" w:eastAsia="Trebuchet MS" w:hAnsi="Trebuchet MS" w:cs="Trebuchet MS"/>
                <w:b/>
                <w:color w:val="000000"/>
              </w:rPr>
              <w:t>5.2.</w:t>
            </w:r>
          </w:hyperlink>
          <w:hyperlink w:anchor="_heading=h.cgm6vtcnxfg">
            <w:r>
              <w:rPr>
                <w:rFonts w:ascii="Trebuchet MS" w:eastAsia="Trebuchet MS" w:hAnsi="Trebuchet MS" w:cs="Trebuchet MS"/>
                <w:color w:val="000000"/>
                <w:sz w:val="22"/>
                <w:szCs w:val="22"/>
              </w:rPr>
              <w:tab/>
            </w:r>
          </w:hyperlink>
          <w:r>
            <w:fldChar w:fldCharType="begin"/>
          </w:r>
          <w:r>
            <w:instrText xml:space="preserve"> PAGEREF _heading=h.cgm6vtcnxfg \h </w:instrText>
          </w:r>
          <w:r>
            <w:fldChar w:fldCharType="separate"/>
          </w:r>
          <w:r>
            <w:rPr>
              <w:rFonts w:ascii="Trebuchet MS" w:eastAsia="Trebuchet MS" w:hAnsi="Trebuchet MS" w:cs="Trebuchet MS"/>
              <w:b/>
              <w:color w:val="000000"/>
            </w:rPr>
            <w:t>Evaluation plan</w:t>
          </w:r>
          <w:r>
            <w:rPr>
              <w:rFonts w:ascii="Trebuchet MS" w:eastAsia="Trebuchet MS" w:hAnsi="Trebuchet MS" w:cs="Trebuchet MS"/>
              <w:b/>
              <w:color w:val="000000"/>
            </w:rPr>
            <w:tab/>
            <w:t>28</w:t>
          </w:r>
          <w:r>
            <w:fldChar w:fldCharType="end"/>
          </w:r>
        </w:p>
        <w:p w14:paraId="10B70BA7"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kisi5qfp0738">
            <w:r>
              <w:rPr>
                <w:rFonts w:ascii="Trebuchet MS" w:eastAsia="Trebuchet MS" w:hAnsi="Trebuchet MS" w:cs="Trebuchet MS"/>
                <w:b/>
                <w:color w:val="000000"/>
              </w:rPr>
              <w:t>5.3.</w:t>
            </w:r>
          </w:hyperlink>
          <w:hyperlink w:anchor="_heading=h.kisi5qfp0738">
            <w:r>
              <w:rPr>
                <w:rFonts w:ascii="Trebuchet MS" w:eastAsia="Trebuchet MS" w:hAnsi="Trebuchet MS" w:cs="Trebuchet MS"/>
                <w:color w:val="000000"/>
                <w:sz w:val="22"/>
                <w:szCs w:val="22"/>
              </w:rPr>
              <w:tab/>
            </w:r>
          </w:hyperlink>
          <w:r>
            <w:fldChar w:fldCharType="begin"/>
          </w:r>
          <w:r>
            <w:instrText xml:space="preserve"> PAGEREF _heading=h.kisi5qfp0738 \h </w:instrText>
          </w:r>
          <w:r>
            <w:fldChar w:fldCharType="separate"/>
          </w:r>
          <w:r>
            <w:rPr>
              <w:rFonts w:ascii="Trebuchet MS" w:eastAsia="Trebuchet MS" w:hAnsi="Trebuchet MS" w:cs="Trebuchet MS"/>
              <w:b/>
              <w:color w:val="000000"/>
            </w:rPr>
            <w:t>Action indicators</w:t>
          </w:r>
          <w:r>
            <w:rPr>
              <w:rFonts w:ascii="Trebuchet MS" w:eastAsia="Trebuchet MS" w:hAnsi="Trebuchet MS" w:cs="Trebuchet MS"/>
              <w:b/>
              <w:color w:val="000000"/>
            </w:rPr>
            <w:tab/>
            <w:t>28</w:t>
          </w:r>
          <w:r>
            <w:fldChar w:fldCharType="end"/>
          </w:r>
        </w:p>
        <w:p w14:paraId="5946D23E"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89a1itvcssh4">
            <w:r>
              <w:rPr>
                <w:rFonts w:ascii="Trebuchet MS" w:eastAsia="Trebuchet MS" w:hAnsi="Trebuchet MS" w:cs="Trebuchet MS"/>
                <w:b/>
                <w:smallCaps/>
                <w:color w:val="000000"/>
              </w:rPr>
              <w:t>6.</w:t>
            </w:r>
          </w:hyperlink>
          <w:hyperlink w:anchor="_heading=h.89a1itvcssh4">
            <w:r>
              <w:rPr>
                <w:rFonts w:ascii="Trebuchet MS" w:eastAsia="Trebuchet MS" w:hAnsi="Trebuchet MS" w:cs="Trebuchet MS"/>
                <w:color w:val="000000"/>
                <w:sz w:val="22"/>
                <w:szCs w:val="22"/>
              </w:rPr>
              <w:tab/>
            </w:r>
          </w:hyperlink>
          <w:r>
            <w:fldChar w:fldCharType="begin"/>
          </w:r>
          <w:r>
            <w:instrText xml:space="preserve"> PAGEREF _heading=h.89a1itvcssh4 \h </w:instrText>
          </w:r>
          <w:r>
            <w:fldChar w:fldCharType="separate"/>
          </w:r>
          <w:r>
            <w:rPr>
              <w:rFonts w:ascii="Trebuchet MS" w:eastAsia="Trebuchet MS" w:hAnsi="Trebuchet MS" w:cs="Trebuchet MS"/>
              <w:b/>
              <w:smallCaps/>
              <w:color w:val="000000"/>
            </w:rPr>
            <w:t>Potential funding opportunities</w:t>
          </w:r>
          <w:r>
            <w:rPr>
              <w:rFonts w:ascii="Trebuchet MS" w:eastAsia="Trebuchet MS" w:hAnsi="Trebuchet MS" w:cs="Trebuchet MS"/>
              <w:b/>
              <w:smallCaps/>
              <w:color w:val="000000"/>
            </w:rPr>
            <w:tab/>
            <w:t>30</w:t>
          </w:r>
          <w:r>
            <w:fldChar w:fldCharType="end"/>
          </w:r>
        </w:p>
        <w:p w14:paraId="0CFC86CB"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7mhx9j2n1ex9">
            <w:r>
              <w:rPr>
                <w:rFonts w:ascii="Trebuchet MS" w:eastAsia="Trebuchet MS" w:hAnsi="Trebuchet MS" w:cs="Trebuchet MS"/>
                <w:b/>
                <w:smallCaps/>
                <w:color w:val="000000"/>
              </w:rPr>
              <w:t>7.</w:t>
            </w:r>
          </w:hyperlink>
          <w:hyperlink w:anchor="_heading=h.7mhx9j2n1ex9">
            <w:r>
              <w:rPr>
                <w:rFonts w:ascii="Trebuchet MS" w:eastAsia="Trebuchet MS" w:hAnsi="Trebuchet MS" w:cs="Trebuchet MS"/>
                <w:color w:val="000000"/>
                <w:sz w:val="22"/>
                <w:szCs w:val="22"/>
              </w:rPr>
              <w:tab/>
            </w:r>
          </w:hyperlink>
          <w:r>
            <w:fldChar w:fldCharType="begin"/>
          </w:r>
          <w:r>
            <w:instrText xml:space="preserve"> PAGEREF _heading=h.7mhx9j2n1ex9 \h </w:instrText>
          </w:r>
          <w:r>
            <w:fldChar w:fldCharType="separate"/>
          </w:r>
          <w:r>
            <w:rPr>
              <w:rFonts w:ascii="Trebuchet MS" w:eastAsia="Trebuchet MS" w:hAnsi="Trebuchet MS" w:cs="Trebuchet MS"/>
              <w:b/>
              <w:smallCaps/>
              <w:color w:val="000000"/>
            </w:rPr>
            <w:t>Conclusion</w:t>
          </w:r>
          <w:r>
            <w:rPr>
              <w:rFonts w:ascii="Trebuchet MS" w:eastAsia="Trebuchet MS" w:hAnsi="Trebuchet MS" w:cs="Trebuchet MS"/>
              <w:b/>
              <w:smallCaps/>
              <w:color w:val="000000"/>
            </w:rPr>
            <w:tab/>
            <w:t>31</w:t>
          </w:r>
          <w:r>
            <w:fldChar w:fldCharType="end"/>
          </w:r>
        </w:p>
        <w:p w14:paraId="4ECBCD4C"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lrr8kkmw6i65">
            <w:r>
              <w:rPr>
                <w:rFonts w:ascii="Trebuchet MS" w:eastAsia="Trebuchet MS" w:hAnsi="Trebuchet MS" w:cs="Trebuchet MS"/>
                <w:b/>
                <w:color w:val="000000"/>
              </w:rPr>
              <w:t>7.1.</w:t>
            </w:r>
          </w:hyperlink>
          <w:hyperlink w:anchor="_heading=h.lrr8kkmw6i65">
            <w:r>
              <w:rPr>
                <w:rFonts w:ascii="Trebuchet MS" w:eastAsia="Trebuchet MS" w:hAnsi="Trebuchet MS" w:cs="Trebuchet MS"/>
                <w:color w:val="000000"/>
                <w:sz w:val="22"/>
                <w:szCs w:val="22"/>
              </w:rPr>
              <w:tab/>
            </w:r>
          </w:hyperlink>
          <w:r>
            <w:fldChar w:fldCharType="begin"/>
          </w:r>
          <w:r>
            <w:instrText xml:space="preserve"> PAGEREF _heading=h.lrr8kkmw6i65 \h </w:instrText>
          </w:r>
          <w:r>
            <w:fldChar w:fldCharType="separate"/>
          </w:r>
          <w:r>
            <w:rPr>
              <w:rFonts w:ascii="Trebuchet MS" w:eastAsia="Trebuchet MS" w:hAnsi="Trebuchet MS" w:cs="Trebuchet MS"/>
              <w:b/>
              <w:color w:val="000000"/>
            </w:rPr>
            <w:t>Summary of key points</w:t>
          </w:r>
          <w:r>
            <w:rPr>
              <w:rFonts w:ascii="Trebuchet MS" w:eastAsia="Trebuchet MS" w:hAnsi="Trebuchet MS" w:cs="Trebuchet MS"/>
              <w:b/>
              <w:color w:val="000000"/>
            </w:rPr>
            <w:tab/>
            <w:t>31</w:t>
          </w:r>
          <w:r>
            <w:fldChar w:fldCharType="end"/>
          </w:r>
        </w:p>
        <w:p w14:paraId="7B8FB53F" w14:textId="77777777" w:rsidR="00E24EC1" w:rsidRDefault="00000000">
          <w:pPr>
            <w:pBdr>
              <w:top w:val="nil"/>
              <w:left w:val="nil"/>
              <w:bottom w:val="nil"/>
              <w:right w:val="nil"/>
              <w:between w:val="nil"/>
            </w:pBdr>
            <w:tabs>
              <w:tab w:val="left" w:pos="1000"/>
              <w:tab w:val="right" w:pos="9065"/>
            </w:tabs>
            <w:spacing w:before="240"/>
            <w:ind w:left="340" w:right="340"/>
            <w:rPr>
              <w:rFonts w:ascii="Trebuchet MS" w:eastAsia="Trebuchet MS" w:hAnsi="Trebuchet MS" w:cs="Trebuchet MS"/>
              <w:color w:val="000000"/>
              <w:sz w:val="22"/>
              <w:szCs w:val="22"/>
            </w:rPr>
          </w:pPr>
          <w:hyperlink w:anchor="_heading=h.ha467yt1wt6u">
            <w:r>
              <w:rPr>
                <w:rFonts w:ascii="Trebuchet MS" w:eastAsia="Trebuchet MS" w:hAnsi="Trebuchet MS" w:cs="Trebuchet MS"/>
                <w:b/>
                <w:color w:val="000000"/>
              </w:rPr>
              <w:t>7.2.</w:t>
            </w:r>
          </w:hyperlink>
          <w:hyperlink w:anchor="_heading=h.ha467yt1wt6u">
            <w:r>
              <w:rPr>
                <w:rFonts w:ascii="Trebuchet MS" w:eastAsia="Trebuchet MS" w:hAnsi="Trebuchet MS" w:cs="Trebuchet MS"/>
                <w:color w:val="000000"/>
                <w:sz w:val="22"/>
                <w:szCs w:val="22"/>
              </w:rPr>
              <w:tab/>
            </w:r>
          </w:hyperlink>
          <w:r>
            <w:fldChar w:fldCharType="begin"/>
          </w:r>
          <w:r>
            <w:instrText xml:space="preserve"> PAGEREF _heading=h.ha467yt1wt6u \h </w:instrText>
          </w:r>
          <w:r>
            <w:fldChar w:fldCharType="separate"/>
          </w:r>
          <w:r>
            <w:rPr>
              <w:rFonts w:ascii="Trebuchet MS" w:eastAsia="Trebuchet MS" w:hAnsi="Trebuchet MS" w:cs="Trebuchet MS"/>
              <w:b/>
              <w:color w:val="000000"/>
            </w:rPr>
            <w:t>Future directions and recommendations</w:t>
          </w:r>
          <w:r>
            <w:rPr>
              <w:rFonts w:ascii="Trebuchet MS" w:eastAsia="Trebuchet MS" w:hAnsi="Trebuchet MS" w:cs="Trebuchet MS"/>
              <w:b/>
              <w:color w:val="000000"/>
            </w:rPr>
            <w:tab/>
            <w:t>31</w:t>
          </w:r>
          <w:r>
            <w:fldChar w:fldCharType="end"/>
          </w:r>
        </w:p>
        <w:p w14:paraId="53292D84" w14:textId="77777777" w:rsidR="00E24EC1" w:rsidRDefault="00000000">
          <w:pPr>
            <w:pBdr>
              <w:top w:val="nil"/>
              <w:left w:val="nil"/>
              <w:bottom w:val="nil"/>
              <w:right w:val="nil"/>
              <w:between w:val="nil"/>
            </w:pBdr>
            <w:tabs>
              <w:tab w:val="left" w:pos="510"/>
              <w:tab w:val="right" w:pos="9065"/>
            </w:tabs>
            <w:spacing w:before="360"/>
            <w:rPr>
              <w:rFonts w:ascii="Trebuchet MS" w:eastAsia="Trebuchet MS" w:hAnsi="Trebuchet MS" w:cs="Trebuchet MS"/>
              <w:color w:val="000000"/>
              <w:sz w:val="22"/>
              <w:szCs w:val="22"/>
            </w:rPr>
          </w:pPr>
          <w:hyperlink w:anchor="_heading=h.yk2a1b7wnh78">
            <w:r>
              <w:rPr>
                <w:rFonts w:ascii="Trebuchet MS" w:eastAsia="Trebuchet MS" w:hAnsi="Trebuchet MS" w:cs="Trebuchet MS"/>
                <w:b/>
                <w:smallCaps/>
                <w:color w:val="000000"/>
              </w:rPr>
              <w:t>8.</w:t>
            </w:r>
          </w:hyperlink>
          <w:hyperlink w:anchor="_heading=h.yk2a1b7wnh78">
            <w:r>
              <w:rPr>
                <w:rFonts w:ascii="Trebuchet MS" w:eastAsia="Trebuchet MS" w:hAnsi="Trebuchet MS" w:cs="Trebuchet MS"/>
                <w:color w:val="000000"/>
                <w:sz w:val="22"/>
                <w:szCs w:val="22"/>
              </w:rPr>
              <w:tab/>
            </w:r>
          </w:hyperlink>
          <w:r>
            <w:fldChar w:fldCharType="begin"/>
          </w:r>
          <w:r>
            <w:instrText xml:space="preserve"> PAGEREF _heading=h.yk2a1b7wnh78 \h </w:instrText>
          </w:r>
          <w:r>
            <w:fldChar w:fldCharType="separate"/>
          </w:r>
          <w:r>
            <w:rPr>
              <w:rFonts w:ascii="Trebuchet MS" w:eastAsia="Trebuchet MS" w:hAnsi="Trebuchet MS" w:cs="Trebuchet MS"/>
              <w:b/>
              <w:smallCaps/>
              <w:color w:val="000000"/>
            </w:rPr>
            <w:t>List of sources</w:t>
          </w:r>
          <w:r>
            <w:rPr>
              <w:rFonts w:ascii="Trebuchet MS" w:eastAsia="Trebuchet MS" w:hAnsi="Trebuchet MS" w:cs="Trebuchet MS"/>
              <w:b/>
              <w:smallCaps/>
              <w:color w:val="000000"/>
            </w:rPr>
            <w:tab/>
            <w:t>32</w:t>
          </w:r>
          <w:r>
            <w:fldChar w:fldCharType="end"/>
          </w:r>
        </w:p>
        <w:p w14:paraId="6DC41610" w14:textId="77777777" w:rsidR="00E24EC1" w:rsidRDefault="00000000">
          <w:r>
            <w:fldChar w:fldCharType="end"/>
          </w:r>
        </w:p>
      </w:sdtContent>
    </w:sdt>
    <w:p w14:paraId="168F6059" w14:textId="77777777" w:rsidR="00E24EC1" w:rsidRDefault="00E24EC1">
      <w:pPr>
        <w:pBdr>
          <w:top w:val="nil"/>
          <w:left w:val="nil"/>
          <w:bottom w:val="nil"/>
          <w:right w:val="nil"/>
          <w:between w:val="nil"/>
        </w:pBdr>
        <w:rPr>
          <w:rFonts w:ascii="Trebuchet MS" w:eastAsia="Trebuchet MS" w:hAnsi="Trebuchet MS" w:cs="Trebuchet MS"/>
          <w:color w:val="000000"/>
          <w:vertAlign w:val="superscript"/>
        </w:rPr>
      </w:pPr>
    </w:p>
    <w:p w14:paraId="156FE59D" w14:textId="77777777" w:rsidR="00E24EC1" w:rsidRDefault="00E24EC1">
      <w:pPr>
        <w:pBdr>
          <w:top w:val="nil"/>
          <w:left w:val="nil"/>
          <w:bottom w:val="nil"/>
          <w:right w:val="nil"/>
          <w:between w:val="nil"/>
        </w:pBdr>
        <w:rPr>
          <w:rFonts w:ascii="Trebuchet MS" w:eastAsia="Trebuchet MS" w:hAnsi="Trebuchet MS" w:cs="Trebuchet MS"/>
          <w:color w:val="000000"/>
          <w:vertAlign w:val="superscript"/>
        </w:rPr>
      </w:pPr>
    </w:p>
    <w:p w14:paraId="00C8831E" w14:textId="77777777" w:rsidR="00E24EC1" w:rsidRDefault="00E24EC1">
      <w:pPr>
        <w:rPr>
          <w:vertAlign w:val="superscript"/>
        </w:rPr>
      </w:pPr>
    </w:p>
    <w:p w14:paraId="275AC987" w14:textId="77777777" w:rsidR="00E24EC1" w:rsidRDefault="00000000">
      <w:pPr>
        <w:rPr>
          <w:vertAlign w:val="superscript"/>
        </w:rPr>
      </w:pPr>
      <w:r>
        <w:br w:type="page"/>
      </w:r>
    </w:p>
    <w:p w14:paraId="60F1F94A" w14:textId="77777777" w:rsidR="00E24EC1" w:rsidRDefault="00000000">
      <w:pPr>
        <w:pStyle w:val="Naslov1"/>
        <w:ind w:firstLine="360"/>
      </w:pPr>
      <w:bookmarkStart w:id="0" w:name="_heading=h.to943i75ebyi" w:colFirst="0" w:colLast="0"/>
      <w:bookmarkEnd w:id="0"/>
      <w:r>
        <w:lastRenderedPageBreak/>
        <w:t>1. Introduction</w:t>
      </w:r>
    </w:p>
    <w:p w14:paraId="3DF56888" w14:textId="77777777" w:rsidR="00E24EC1" w:rsidRDefault="00000000">
      <w:pPr>
        <w:pStyle w:val="Naslov2"/>
        <w:numPr>
          <w:ilvl w:val="1"/>
          <w:numId w:val="7"/>
        </w:numPr>
      </w:pPr>
      <w:bookmarkStart w:id="1" w:name="_heading=h.u9krnstinkia" w:colFirst="0" w:colLast="0"/>
      <w:bookmarkEnd w:id="1"/>
      <w:r>
        <w:t>General information of the Partner</w:t>
      </w:r>
    </w:p>
    <w:tbl>
      <w:tblPr>
        <w:tblStyle w:val="a8"/>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5103"/>
      </w:tblGrid>
      <w:tr w:rsidR="00E24EC1" w14:paraId="39BCB4C3" w14:textId="77777777">
        <w:trPr>
          <w:trHeight w:val="289"/>
          <w:jc w:val="center"/>
        </w:trPr>
        <w:tc>
          <w:tcPr>
            <w:tcW w:w="4248" w:type="dxa"/>
          </w:tcPr>
          <w:p w14:paraId="0AB80712"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PROJECT</w:t>
            </w:r>
          </w:p>
        </w:tc>
        <w:tc>
          <w:tcPr>
            <w:tcW w:w="5103" w:type="dxa"/>
          </w:tcPr>
          <w:p w14:paraId="50F3F2F6"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Danube Wood(s) Route</w:t>
            </w:r>
          </w:p>
        </w:tc>
      </w:tr>
      <w:tr w:rsidR="00E24EC1" w14:paraId="0C4A8E90" w14:textId="77777777">
        <w:trPr>
          <w:trHeight w:val="289"/>
          <w:jc w:val="center"/>
        </w:trPr>
        <w:tc>
          <w:tcPr>
            <w:tcW w:w="4248" w:type="dxa"/>
          </w:tcPr>
          <w:p w14:paraId="176F7E2D"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 xml:space="preserve">PARTNER ORGANISATION CONCERNED </w:t>
            </w:r>
          </w:p>
        </w:tc>
        <w:tc>
          <w:tcPr>
            <w:tcW w:w="5103" w:type="dxa"/>
          </w:tcPr>
          <w:p w14:paraId="2B4835F4"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 xml:space="preserve">Regional Development Agency for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w:t>
            </w:r>
          </w:p>
        </w:tc>
      </w:tr>
      <w:tr w:rsidR="00E24EC1" w14:paraId="0AEABEBD" w14:textId="77777777">
        <w:trPr>
          <w:trHeight w:val="103"/>
          <w:jc w:val="center"/>
        </w:trPr>
        <w:tc>
          <w:tcPr>
            <w:tcW w:w="4248" w:type="dxa"/>
          </w:tcPr>
          <w:p w14:paraId="234BD147"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 xml:space="preserve">COUNTRY </w:t>
            </w:r>
          </w:p>
        </w:tc>
        <w:tc>
          <w:tcPr>
            <w:tcW w:w="5103" w:type="dxa"/>
          </w:tcPr>
          <w:p w14:paraId="2EA855A7"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Montenegro</w:t>
            </w:r>
          </w:p>
        </w:tc>
      </w:tr>
      <w:tr w:rsidR="00E24EC1" w14:paraId="100EFBA4" w14:textId="77777777">
        <w:trPr>
          <w:trHeight w:val="103"/>
          <w:jc w:val="center"/>
        </w:trPr>
        <w:tc>
          <w:tcPr>
            <w:tcW w:w="4248" w:type="dxa"/>
          </w:tcPr>
          <w:p w14:paraId="6AA40EAE"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 xml:space="preserve">NUTS2 REGION </w:t>
            </w:r>
          </w:p>
        </w:tc>
        <w:tc>
          <w:tcPr>
            <w:tcW w:w="5103" w:type="dxa"/>
          </w:tcPr>
          <w:p w14:paraId="32D427FE"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Northern Montenegro</w:t>
            </w:r>
          </w:p>
        </w:tc>
      </w:tr>
      <w:tr w:rsidR="00E24EC1" w14:paraId="5083C83A" w14:textId="77777777">
        <w:trPr>
          <w:trHeight w:val="103"/>
          <w:jc w:val="center"/>
        </w:trPr>
        <w:tc>
          <w:tcPr>
            <w:tcW w:w="4248" w:type="dxa"/>
          </w:tcPr>
          <w:p w14:paraId="29D8772E"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 xml:space="preserve">CONTACT PERSON </w:t>
            </w:r>
          </w:p>
        </w:tc>
        <w:tc>
          <w:tcPr>
            <w:tcW w:w="5103" w:type="dxa"/>
          </w:tcPr>
          <w:p w14:paraId="7060E6D1"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Jelena Krivcevic</w:t>
            </w:r>
          </w:p>
        </w:tc>
      </w:tr>
      <w:tr w:rsidR="00E24EC1" w14:paraId="1AF57391" w14:textId="77777777">
        <w:trPr>
          <w:trHeight w:val="103"/>
          <w:jc w:val="center"/>
        </w:trPr>
        <w:tc>
          <w:tcPr>
            <w:tcW w:w="4248" w:type="dxa"/>
          </w:tcPr>
          <w:p w14:paraId="6AA52CEA" w14:textId="77777777" w:rsidR="00E24EC1" w:rsidRDefault="00000000">
            <w:pPr>
              <w:pBdr>
                <w:top w:val="nil"/>
                <w:left w:val="nil"/>
                <w:bottom w:val="nil"/>
                <w:right w:val="nil"/>
                <w:between w:val="nil"/>
              </w:pBdr>
              <w:rPr>
                <w:rFonts w:ascii="Trebuchet MS" w:eastAsia="Trebuchet MS" w:hAnsi="Trebuchet MS" w:cs="Trebuchet MS"/>
                <w:sz w:val="20"/>
                <w:szCs w:val="20"/>
              </w:rPr>
            </w:pPr>
            <w:r>
              <w:rPr>
                <w:rFonts w:ascii="Trebuchet MS" w:eastAsia="Trebuchet MS" w:hAnsi="Trebuchet MS" w:cs="Trebuchet MS"/>
                <w:sz w:val="20"/>
                <w:szCs w:val="20"/>
              </w:rPr>
              <w:t xml:space="preserve">E-MAIL ADDRESS </w:t>
            </w:r>
          </w:p>
        </w:tc>
        <w:tc>
          <w:tcPr>
            <w:tcW w:w="5103" w:type="dxa"/>
          </w:tcPr>
          <w:p w14:paraId="5DB8F0A9" w14:textId="77777777" w:rsidR="00E24EC1" w:rsidRDefault="00000000">
            <w:pPr>
              <w:pBdr>
                <w:top w:val="nil"/>
                <w:left w:val="nil"/>
                <w:bottom w:val="nil"/>
                <w:right w:val="nil"/>
                <w:between w:val="nil"/>
              </w:pBdr>
              <w:rPr>
                <w:rFonts w:ascii="Trebuchet MS" w:eastAsia="Trebuchet MS" w:hAnsi="Trebuchet MS" w:cs="Trebuchet MS"/>
                <w:color w:val="FF0000"/>
                <w:sz w:val="20"/>
                <w:szCs w:val="20"/>
              </w:rPr>
            </w:pPr>
            <w:hyperlink r:id="rId11">
              <w:r>
                <w:rPr>
                  <w:rFonts w:ascii="Trebuchet MS" w:eastAsia="Trebuchet MS" w:hAnsi="Trebuchet MS" w:cs="Trebuchet MS"/>
                  <w:color w:val="0000FF"/>
                  <w:sz w:val="20"/>
                  <w:szCs w:val="20"/>
                  <w:u w:val="single"/>
                </w:rPr>
                <w:t>jkrivcevic@bjelasica-komovi.co.me</w:t>
              </w:r>
            </w:hyperlink>
          </w:p>
        </w:tc>
      </w:tr>
    </w:tbl>
    <w:p w14:paraId="555F31EE"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00B5067" w14:textId="77777777" w:rsidR="00E24EC1" w:rsidRDefault="00000000">
      <w:pPr>
        <w:pStyle w:val="Naslov2"/>
        <w:numPr>
          <w:ilvl w:val="1"/>
          <w:numId w:val="6"/>
        </w:numPr>
      </w:pPr>
      <w:bookmarkStart w:id="2" w:name="_heading=h.higzh0xvc56f" w:colFirst="0" w:colLast="0"/>
      <w:bookmarkEnd w:id="2"/>
      <w:r>
        <w:t>Overall and specific objectives of the Action Plan</w:t>
      </w:r>
    </w:p>
    <w:p w14:paraId="0D184A33"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Danube Wood(s) Cultural Route Regional Action Plan of Montenegro (RAP) is an integral component of the broader Danube Wood(s)Route initiative, aligning closely with the strategic directions defined by the Common Danube Wood Strategy. The primary aim of the RAP is to support the sustainable use of forest resources and the </w:t>
      </w:r>
      <w:proofErr w:type="spellStart"/>
      <w:r>
        <w:rPr>
          <w:rFonts w:ascii="Trebuchet MS" w:eastAsia="Trebuchet MS" w:hAnsi="Trebuchet MS" w:cs="Trebuchet MS"/>
          <w:sz w:val="20"/>
          <w:szCs w:val="20"/>
        </w:rPr>
        <w:t>valorisation</w:t>
      </w:r>
      <w:proofErr w:type="spellEnd"/>
      <w:r>
        <w:rPr>
          <w:rFonts w:ascii="Trebuchet MS" w:eastAsia="Trebuchet MS" w:hAnsi="Trebuchet MS" w:cs="Trebuchet MS"/>
          <w:sz w:val="20"/>
          <w:szCs w:val="20"/>
        </w:rPr>
        <w:t xml:space="preserve"> of wood-related cultural heritage by translating transnational goals into actions tailored to the needs and strengths of northern Montenegro.</w:t>
      </w:r>
    </w:p>
    <w:p w14:paraId="77E344A4"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64CD37AB"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Montenegrin RAP is rooted in the regional analysis conducted for 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area and surrounding municipalities (Plav, </w:t>
      </w:r>
      <w:proofErr w:type="spellStart"/>
      <w:r>
        <w:rPr>
          <w:rFonts w:ascii="Trebuchet MS" w:eastAsia="Trebuchet MS" w:hAnsi="Trebuchet MS" w:cs="Trebuchet MS"/>
          <w:sz w:val="20"/>
          <w:szCs w:val="20"/>
        </w:rPr>
        <w:t>Gusinje</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Berane</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Andrijevica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Kolašin</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Mojkovac</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BijeloPolje</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Petnjica</w:t>
      </w:r>
      <w:proofErr w:type="spellEnd"/>
      <w:r>
        <w:rPr>
          <w:rFonts w:ascii="Trebuchet MS" w:eastAsia="Trebuchet MS" w:hAnsi="Trebuchet MS" w:cs="Trebuchet MS"/>
          <w:sz w:val="20"/>
          <w:szCs w:val="20"/>
        </w:rPr>
        <w:t>), where forest coverage exceeds 60% and where unique traditions of wood use persist in architecture, crafts, oral heritage, and rural life. The region also hosts significant biodiversity and a strong tradition of rural tourism, especially in mountainous areas shaped by centuries of transhumance and forest use.</w:t>
      </w:r>
    </w:p>
    <w:p w14:paraId="2FDD9122"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6215A269"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proofErr w:type="gramStart"/>
      <w:r>
        <w:rPr>
          <w:rFonts w:ascii="Trebuchet MS" w:eastAsia="Trebuchet MS" w:hAnsi="Trebuchet MS" w:cs="Trebuchet MS"/>
          <w:sz w:val="20"/>
          <w:szCs w:val="20"/>
        </w:rPr>
        <w:t>The RAP</w:t>
      </w:r>
      <w:proofErr w:type="gramEnd"/>
      <w:r>
        <w:rPr>
          <w:rFonts w:ascii="Trebuchet MS" w:eastAsia="Trebuchet MS" w:hAnsi="Trebuchet MS" w:cs="Trebuchet MS"/>
          <w:sz w:val="20"/>
          <w:szCs w:val="20"/>
        </w:rPr>
        <w:t xml:space="preserve"> proposes concrete, small-scale measures that connect ecological conservation with cultural preservation, economic development, and social cohesion. In doing so, it not only addresses issues such as deforestation risk, underutilized wood crafts, and rural depopulation but also promotes green innovation, local entrepreneurship, and inclusive tourism development.</w:t>
      </w:r>
    </w:p>
    <w:p w14:paraId="730486E9"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0FB880A6"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A core objective of this RAP is to establish broad consensus among regional stakeholders—including rural households, cultural institutions, tourism providers, women’s groups, and protected area authorities—on shared priorities for integrating forest and wood heritage into local development. This includes identifying locations with cultural and ecological value, improving their visibility and accessibility, and integrating them into meaningful visitor experiences.</w:t>
      </w:r>
    </w:p>
    <w:p w14:paraId="342C1847"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1AAC2992"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The RAP supports the creation of wood-inspired tourism infrastructure and services, such as traditional guesthouse upgrades, forest-themed interpretation trails, and decor that reflects local heritage. These interventions aim to diversify rural tourism offers, extend the season, and empower host communities. The action plan also promotes community-based conservation, including the protection of forest biodiversity, vernacular wooden structures, and oral traditions.</w:t>
      </w:r>
    </w:p>
    <w:p w14:paraId="59C38E58"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3E38AAAC"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Capacity building is another key element. Through hands-on training, mentoring, and peer exchange, </w:t>
      </w:r>
      <w:proofErr w:type="gramStart"/>
      <w:r>
        <w:rPr>
          <w:rFonts w:ascii="Trebuchet MS" w:eastAsia="Trebuchet MS" w:hAnsi="Trebuchet MS" w:cs="Trebuchet MS"/>
          <w:sz w:val="20"/>
          <w:szCs w:val="20"/>
        </w:rPr>
        <w:t>the RAP</w:t>
      </w:r>
      <w:proofErr w:type="gramEnd"/>
      <w:r>
        <w:rPr>
          <w:rFonts w:ascii="Trebuchet MS" w:eastAsia="Trebuchet MS" w:hAnsi="Trebuchet MS" w:cs="Trebuchet MS"/>
          <w:sz w:val="20"/>
          <w:szCs w:val="20"/>
        </w:rPr>
        <w:t xml:space="preserve"> enables local actors to take active roles in the cultural </w:t>
      </w:r>
      <w:proofErr w:type="spellStart"/>
      <w:r>
        <w:rPr>
          <w:rFonts w:ascii="Trebuchet MS" w:eastAsia="Trebuchet MS" w:hAnsi="Trebuchet MS" w:cs="Trebuchet MS"/>
          <w:sz w:val="20"/>
          <w:szCs w:val="20"/>
        </w:rPr>
        <w:t>route’s</w:t>
      </w:r>
      <w:proofErr w:type="spellEnd"/>
      <w:r>
        <w:rPr>
          <w:rFonts w:ascii="Trebuchet MS" w:eastAsia="Trebuchet MS" w:hAnsi="Trebuchet MS" w:cs="Trebuchet MS"/>
          <w:sz w:val="20"/>
          <w:szCs w:val="20"/>
        </w:rPr>
        <w:t xml:space="preserve"> development and management. Special focus is placed on engaging women, who hold essential knowledge of decorating, crafting, storytelling, and hosting, but are often underrepresented in planning processes.</w:t>
      </w:r>
    </w:p>
    <w:p w14:paraId="1EF8671F"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3A98D38C"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By supporting sustainable forest-based entrepreneurship, the RAP encourages the use of legal and </w:t>
      </w:r>
      <w:proofErr w:type="gramStart"/>
      <w:r>
        <w:rPr>
          <w:rFonts w:ascii="Trebuchet MS" w:eastAsia="Trebuchet MS" w:hAnsi="Trebuchet MS" w:cs="Trebuchet MS"/>
          <w:sz w:val="20"/>
          <w:szCs w:val="20"/>
        </w:rPr>
        <w:t>locally-sourced</w:t>
      </w:r>
      <w:proofErr w:type="gramEnd"/>
      <w:r>
        <w:rPr>
          <w:rFonts w:ascii="Trebuchet MS" w:eastAsia="Trebuchet MS" w:hAnsi="Trebuchet MS" w:cs="Trebuchet MS"/>
          <w:sz w:val="20"/>
          <w:szCs w:val="20"/>
        </w:rPr>
        <w:t xml:space="preserve"> wood in crafts, design, and tourism infrastructure. It aligns with broader sustainability frameworks, including the EU Green Deal, EUDR (Deforestation Regulation), and circular economy principles. One important tool supporting this alignment is the Good Travel Seal certification, which helps rural tourism households adopt environmentally responsible and culturally authentic practices. </w:t>
      </w:r>
      <w:proofErr w:type="gramStart"/>
      <w:r>
        <w:rPr>
          <w:rFonts w:ascii="Trebuchet MS" w:eastAsia="Trebuchet MS" w:hAnsi="Trebuchet MS" w:cs="Trebuchet MS"/>
          <w:sz w:val="20"/>
          <w:szCs w:val="20"/>
        </w:rPr>
        <w:lastRenderedPageBreak/>
        <w:t>The RAP</w:t>
      </w:r>
      <w:proofErr w:type="gramEnd"/>
      <w:r>
        <w:rPr>
          <w:rFonts w:ascii="Trebuchet MS" w:eastAsia="Trebuchet MS" w:hAnsi="Trebuchet MS" w:cs="Trebuchet MS"/>
          <w:sz w:val="20"/>
          <w:szCs w:val="20"/>
        </w:rPr>
        <w:t xml:space="preserve"> promotes this certification as a practical way to benchmark and improve the sustainability of rural tourism offers while enhancing visibility and credibility with eco-conscious travelers.</w:t>
      </w:r>
    </w:p>
    <w:p w14:paraId="13F8800C"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3F550C33"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Finally, education and public awareness form a core pillar. The RAP proposes school-based learning, youth forest workshops, and multimedia campaigns that celebrate Montenegro’s wood heritage and promote respectful engagement with nature.</w:t>
      </w:r>
    </w:p>
    <w:p w14:paraId="3CC1D113"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727EA9DB"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In summary, this Regional Action Plan serves as a bridge between vision and implementation, helping Montenegro contribute actively to the Danube Wood(s)Route while honoring and revitalizing its own forest-based traditions. Through its emphasis on sustainability, community ownership, and cultural identity, the RAP strengthens Montenegro’s role in shaping a more resilient and creative Danube region.</w:t>
      </w:r>
    </w:p>
    <w:p w14:paraId="00471C3E"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313165E"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E4DF58E" w14:textId="77777777" w:rsidR="00E24EC1" w:rsidRDefault="00000000">
      <w:pPr>
        <w:pBdr>
          <w:top w:val="nil"/>
          <w:left w:val="nil"/>
          <w:bottom w:val="nil"/>
          <w:right w:val="nil"/>
          <w:between w:val="nil"/>
        </w:pBdr>
        <w:rPr>
          <w:rFonts w:ascii="Trebuchet MS" w:eastAsia="Trebuchet MS" w:hAnsi="Trebuchet MS" w:cs="Trebuchet MS"/>
          <w:color w:val="000000"/>
        </w:rPr>
      </w:pPr>
      <w:r>
        <w:br w:type="page"/>
      </w:r>
    </w:p>
    <w:p w14:paraId="1FD235E9" w14:textId="77777777" w:rsidR="00E24EC1" w:rsidRDefault="00000000">
      <w:pPr>
        <w:pStyle w:val="Naslov1"/>
        <w:numPr>
          <w:ilvl w:val="0"/>
          <w:numId w:val="6"/>
        </w:numPr>
      </w:pPr>
      <w:bookmarkStart w:id="3" w:name="_heading=h.fx28dujbh9ic" w:colFirst="0" w:colLast="0"/>
      <w:bookmarkEnd w:id="3"/>
      <w:r>
        <w:lastRenderedPageBreak/>
        <w:t>Regional Analysis</w:t>
      </w:r>
    </w:p>
    <w:p w14:paraId="5E6ADFA5"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regional analysis for the Montenegrin Regional Action Plan (RAP) was conducted to identify the main challenges and opportunities within the northern mountainous regions of Montenegro, particularly the areas surrounding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These areas represent a unique convergence of dense forest cover, high biodiversity, cultural heritage, and </w:t>
      </w:r>
      <w:proofErr w:type="gramStart"/>
      <w:r>
        <w:rPr>
          <w:rFonts w:ascii="Trebuchet MS" w:eastAsia="Trebuchet MS" w:hAnsi="Trebuchet MS" w:cs="Trebuchet MS"/>
          <w:sz w:val="20"/>
          <w:szCs w:val="20"/>
        </w:rPr>
        <w:t>rural tourism potential</w:t>
      </w:r>
      <w:proofErr w:type="gramEnd"/>
      <w:r>
        <w:rPr>
          <w:rFonts w:ascii="Trebuchet MS" w:eastAsia="Trebuchet MS" w:hAnsi="Trebuchet MS" w:cs="Trebuchet MS"/>
          <w:sz w:val="20"/>
          <w:szCs w:val="20"/>
        </w:rPr>
        <w:t>. The analysis informs the selection of strategic actions presented in Section 4, ensuring they respond directly to local needs and capacities.</w:t>
      </w:r>
    </w:p>
    <w:p w14:paraId="45129907" w14:textId="77777777" w:rsidR="00E24EC1" w:rsidRDefault="00E24EC1">
      <w:pPr>
        <w:pBdr>
          <w:top w:val="nil"/>
          <w:left w:val="nil"/>
          <w:bottom w:val="nil"/>
          <w:right w:val="nil"/>
          <w:between w:val="nil"/>
        </w:pBdr>
        <w:rPr>
          <w:rFonts w:ascii="Trebuchet MS" w:eastAsia="Trebuchet MS" w:hAnsi="Trebuchet MS" w:cs="Trebuchet MS"/>
        </w:rPr>
      </w:pPr>
    </w:p>
    <w:p w14:paraId="75858472" w14:textId="77777777" w:rsidR="00E24EC1" w:rsidRDefault="00000000">
      <w:pPr>
        <w:pStyle w:val="Naslov2"/>
        <w:numPr>
          <w:ilvl w:val="1"/>
          <w:numId w:val="8"/>
        </w:numPr>
      </w:pPr>
      <w:bookmarkStart w:id="4" w:name="_heading=h.4xw652ud8h3i" w:colFirst="0" w:colLast="0"/>
      <w:bookmarkEnd w:id="4"/>
      <w:r>
        <w:t>Natural and cultural assets</w:t>
      </w:r>
    </w:p>
    <w:p w14:paraId="1E3700A1"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Montenegro is among the most forest-rich countries in Europe, with 61.5% of its land covered by forests—a total of 827,000 hectares, of which an impressive 99% are naturally regenerating. This makes Montenegro one of the few countries in Europe where primary forest functions remain intact. Its diverse forest types, ranging from primeval </w:t>
      </w:r>
      <w:proofErr w:type="gramStart"/>
      <w:r>
        <w:rPr>
          <w:rFonts w:ascii="Trebuchet MS" w:eastAsia="Trebuchet MS" w:hAnsi="Trebuchet MS" w:cs="Trebuchet MS"/>
          <w:sz w:val="20"/>
          <w:szCs w:val="20"/>
        </w:rPr>
        <w:t>beech</w:t>
      </w:r>
      <w:proofErr w:type="gramEnd"/>
      <w:r>
        <w:rPr>
          <w:rFonts w:ascii="Trebuchet MS" w:eastAsia="Trebuchet MS" w:hAnsi="Trebuchet MS" w:cs="Trebuchet MS"/>
          <w:sz w:val="20"/>
          <w:szCs w:val="20"/>
        </w:rPr>
        <w:t xml:space="preserve"> stands to mixed fir and pine ecosystems, support high endemism and relict species.</w:t>
      </w:r>
    </w:p>
    <w:p w14:paraId="3F1FD3AA" w14:textId="77777777" w:rsidR="00E24EC1" w:rsidRDefault="00E24EC1">
      <w:pPr>
        <w:rPr>
          <w:rFonts w:ascii="Trebuchet MS" w:eastAsia="Trebuchet MS" w:hAnsi="Trebuchet MS" w:cs="Trebuchet MS"/>
          <w:i/>
          <w:sz w:val="20"/>
          <w:szCs w:val="20"/>
        </w:rPr>
      </w:pPr>
    </w:p>
    <w:p w14:paraId="4307FCEB" w14:textId="77777777" w:rsidR="00E24EC1" w:rsidRDefault="00000000">
      <w:pPr>
        <w:rPr>
          <w:rFonts w:ascii="Trebuchet MS" w:eastAsia="Trebuchet MS" w:hAnsi="Trebuchet MS" w:cs="Trebuchet MS"/>
          <w:b/>
          <w:i/>
          <w:sz w:val="20"/>
          <w:szCs w:val="20"/>
        </w:rPr>
      </w:pPr>
      <w:r>
        <w:rPr>
          <w:rFonts w:ascii="Trebuchet MS" w:eastAsia="Trebuchet MS" w:hAnsi="Trebuchet MS" w:cs="Trebuchet MS"/>
          <w:b/>
          <w:i/>
          <w:sz w:val="20"/>
          <w:szCs w:val="20"/>
        </w:rPr>
        <w:t>Annex: Visual Data for Section 2.1 - Natural and Cultural Assets of Montenegro</w:t>
      </w:r>
    </w:p>
    <w:p w14:paraId="247EAD3F" w14:textId="77777777" w:rsidR="00E24EC1" w:rsidRDefault="00000000">
      <w:r>
        <w:rPr>
          <w:noProof/>
        </w:rPr>
        <w:drawing>
          <wp:inline distT="0" distB="0" distL="0" distR="0" wp14:anchorId="761455C1" wp14:editId="052AC5FA">
            <wp:extent cx="5029200" cy="2828925"/>
            <wp:effectExtent l="0" t="0" r="0" b="0"/>
            <wp:docPr id="19910723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029200" cy="2828925"/>
                    </a:xfrm>
                    <a:prstGeom prst="rect">
                      <a:avLst/>
                    </a:prstGeom>
                    <a:ln/>
                  </pic:spPr>
                </pic:pic>
              </a:graphicData>
            </a:graphic>
          </wp:inline>
        </w:drawing>
      </w:r>
    </w:p>
    <w:p w14:paraId="2AC9169D" w14:textId="77777777" w:rsidR="00E24EC1" w:rsidRDefault="00000000">
      <w:pPr>
        <w:jc w:val="both"/>
        <w:rPr>
          <w:sz w:val="20"/>
          <w:szCs w:val="20"/>
        </w:rPr>
      </w:pPr>
      <w:r>
        <w:rPr>
          <w:sz w:val="20"/>
          <w:szCs w:val="20"/>
        </w:rPr>
        <w:t>Figure 1: Forest cover as percentage of land area. Montenegro stands out with over 60% forest cover, significantly above the EU average. Data sources include Eurostat 2020 and FAO Global Forest Resources Assessment 2020.</w:t>
      </w:r>
    </w:p>
    <w:p w14:paraId="7F755EDF" w14:textId="77777777" w:rsidR="00E24EC1" w:rsidRDefault="00E24EC1">
      <w:pPr>
        <w:pBdr>
          <w:top w:val="nil"/>
          <w:left w:val="nil"/>
          <w:bottom w:val="nil"/>
          <w:right w:val="nil"/>
          <w:between w:val="nil"/>
        </w:pBdr>
        <w:rPr>
          <w:rFonts w:ascii="Trebuchet MS" w:eastAsia="Trebuchet MS" w:hAnsi="Trebuchet MS" w:cs="Trebuchet MS"/>
          <w:color w:val="FF0000"/>
          <w:sz w:val="20"/>
          <w:szCs w:val="20"/>
        </w:rPr>
      </w:pPr>
    </w:p>
    <w:p w14:paraId="54C5890C"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These forests serve as habitat for a range of protected species including brown bear (Ursus arctos), Eurasian lynx (Lynx </w:t>
      </w:r>
      <w:proofErr w:type="spellStart"/>
      <w:r>
        <w:rPr>
          <w:rFonts w:ascii="Trebuchet MS" w:eastAsia="Trebuchet MS" w:hAnsi="Trebuchet MS" w:cs="Trebuchet MS"/>
          <w:sz w:val="20"/>
          <w:szCs w:val="20"/>
        </w:rPr>
        <w:t>lynxbalcanicus</w:t>
      </w:r>
      <w:proofErr w:type="spellEnd"/>
      <w:r>
        <w:rPr>
          <w:rFonts w:ascii="Trebuchet MS" w:eastAsia="Trebuchet MS" w:hAnsi="Trebuchet MS" w:cs="Trebuchet MS"/>
          <w:sz w:val="20"/>
          <w:szCs w:val="20"/>
        </w:rPr>
        <w:t>), wolf (Canis lupus), golden eagle (Aquila chrysaetos), capercaillie (Tetrao urogallus), and Balkan chamois (</w:t>
      </w:r>
      <w:proofErr w:type="spellStart"/>
      <w:r>
        <w:rPr>
          <w:rFonts w:ascii="Trebuchet MS" w:eastAsia="Trebuchet MS" w:hAnsi="Trebuchet MS" w:cs="Trebuchet MS"/>
          <w:sz w:val="20"/>
          <w:szCs w:val="20"/>
        </w:rPr>
        <w:t>Rupicaprarupicaprabalcanica</w:t>
      </w:r>
      <w:proofErr w:type="spellEnd"/>
      <w:r>
        <w:rPr>
          <w:rFonts w:ascii="Trebuchet MS" w:eastAsia="Trebuchet MS" w:hAnsi="Trebuchet MS" w:cs="Trebuchet MS"/>
          <w:sz w:val="20"/>
          <w:szCs w:val="20"/>
        </w:rPr>
        <w:t>). According to the national biodiversity report, 55 forest species in Montenegro are currently listed as vulnerable, endangered, or critically endangered.</w:t>
      </w:r>
    </w:p>
    <w:p w14:paraId="39276AE6"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383CD5B8" w14:textId="77777777" w:rsidR="00E24EC1" w:rsidRDefault="00000000">
      <w:pPr>
        <w:rPr>
          <w:rFonts w:ascii="Trebuchet MS" w:eastAsia="Trebuchet MS" w:hAnsi="Trebuchet MS" w:cs="Trebuchet MS"/>
          <w:b/>
          <w:i/>
          <w:sz w:val="20"/>
          <w:szCs w:val="20"/>
        </w:rPr>
      </w:pPr>
      <w:r>
        <w:rPr>
          <w:rFonts w:ascii="Trebuchet MS" w:eastAsia="Trebuchet MS" w:hAnsi="Trebuchet MS" w:cs="Trebuchet MS"/>
          <w:b/>
          <w:i/>
          <w:sz w:val="20"/>
          <w:szCs w:val="20"/>
        </w:rPr>
        <w:t>Table 2: Selected Forest Species in Montenegro and Their IUCN Status</w:t>
      </w:r>
    </w:p>
    <w:tbl>
      <w:tblPr>
        <w:tblStyle w:val="a9"/>
        <w:tblW w:w="864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320"/>
        <w:gridCol w:w="4320"/>
      </w:tblGrid>
      <w:tr w:rsidR="00E24EC1" w14:paraId="5300FADC" w14:textId="77777777" w:rsidTr="00E24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0DFB75B" w14:textId="77777777" w:rsidR="00E24EC1" w:rsidRDefault="00000000">
            <w:pPr>
              <w:rPr>
                <w:sz w:val="20"/>
                <w:szCs w:val="20"/>
              </w:rPr>
            </w:pPr>
            <w:r>
              <w:rPr>
                <w:sz w:val="20"/>
                <w:szCs w:val="20"/>
              </w:rPr>
              <w:t>Species</w:t>
            </w:r>
          </w:p>
        </w:tc>
        <w:tc>
          <w:tcPr>
            <w:tcW w:w="4320" w:type="dxa"/>
          </w:tcPr>
          <w:p w14:paraId="7189EAC8" w14:textId="77777777" w:rsidR="00E24EC1" w:rsidRDefault="0000000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IUCN Status</w:t>
            </w:r>
          </w:p>
        </w:tc>
      </w:tr>
      <w:tr w:rsidR="00E24EC1" w14:paraId="3AC86BCA"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7A49BAB" w14:textId="77777777" w:rsidR="00E24EC1" w:rsidRDefault="00000000">
            <w:pPr>
              <w:rPr>
                <w:sz w:val="20"/>
                <w:szCs w:val="20"/>
              </w:rPr>
            </w:pPr>
            <w:r>
              <w:rPr>
                <w:sz w:val="20"/>
                <w:szCs w:val="20"/>
              </w:rPr>
              <w:t>Brown bear (Ursus arctos)</w:t>
            </w:r>
          </w:p>
        </w:tc>
        <w:tc>
          <w:tcPr>
            <w:tcW w:w="4320" w:type="dxa"/>
          </w:tcPr>
          <w:p w14:paraId="30F4CF7B" w14:textId="77777777" w:rsidR="00E24EC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Least Concern</w:t>
            </w:r>
          </w:p>
        </w:tc>
      </w:tr>
      <w:tr w:rsidR="00E24EC1" w14:paraId="7F708AA2" w14:textId="77777777" w:rsidTr="00E24EC1">
        <w:tc>
          <w:tcPr>
            <w:cnfStyle w:val="001000000000" w:firstRow="0" w:lastRow="0" w:firstColumn="1" w:lastColumn="0" w:oddVBand="0" w:evenVBand="0" w:oddHBand="0" w:evenHBand="0" w:firstRowFirstColumn="0" w:firstRowLastColumn="0" w:lastRowFirstColumn="0" w:lastRowLastColumn="0"/>
            <w:tcW w:w="4320" w:type="dxa"/>
          </w:tcPr>
          <w:p w14:paraId="35DBF083" w14:textId="77777777" w:rsidR="00E24EC1" w:rsidRDefault="00000000">
            <w:pPr>
              <w:rPr>
                <w:sz w:val="20"/>
                <w:szCs w:val="20"/>
              </w:rPr>
            </w:pPr>
            <w:r>
              <w:rPr>
                <w:sz w:val="20"/>
                <w:szCs w:val="20"/>
              </w:rPr>
              <w:t xml:space="preserve">Eurasian lynx (Lynx </w:t>
            </w:r>
            <w:proofErr w:type="spellStart"/>
            <w:r>
              <w:rPr>
                <w:sz w:val="20"/>
                <w:szCs w:val="20"/>
              </w:rPr>
              <w:t>lynxbalcanicus</w:t>
            </w:r>
            <w:proofErr w:type="spellEnd"/>
            <w:r>
              <w:rPr>
                <w:sz w:val="20"/>
                <w:szCs w:val="20"/>
              </w:rPr>
              <w:t>)</w:t>
            </w:r>
          </w:p>
        </w:tc>
        <w:tc>
          <w:tcPr>
            <w:tcW w:w="4320" w:type="dxa"/>
          </w:tcPr>
          <w:p w14:paraId="51A69A0B"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Endangered (Regional)</w:t>
            </w:r>
          </w:p>
        </w:tc>
      </w:tr>
      <w:tr w:rsidR="00E24EC1" w14:paraId="4B5F37C4"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B83659C" w14:textId="77777777" w:rsidR="00E24EC1" w:rsidRDefault="00000000">
            <w:pPr>
              <w:rPr>
                <w:sz w:val="20"/>
                <w:szCs w:val="20"/>
              </w:rPr>
            </w:pPr>
            <w:r>
              <w:rPr>
                <w:sz w:val="20"/>
                <w:szCs w:val="20"/>
              </w:rPr>
              <w:t>Wolf (Canis lupus)</w:t>
            </w:r>
          </w:p>
        </w:tc>
        <w:tc>
          <w:tcPr>
            <w:tcW w:w="4320" w:type="dxa"/>
          </w:tcPr>
          <w:p w14:paraId="1ADDD5C9" w14:textId="77777777" w:rsidR="00E24EC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Least Concern</w:t>
            </w:r>
          </w:p>
        </w:tc>
      </w:tr>
      <w:tr w:rsidR="00E24EC1" w14:paraId="50EF50A3" w14:textId="77777777" w:rsidTr="00E24EC1">
        <w:tc>
          <w:tcPr>
            <w:cnfStyle w:val="001000000000" w:firstRow="0" w:lastRow="0" w:firstColumn="1" w:lastColumn="0" w:oddVBand="0" w:evenVBand="0" w:oddHBand="0" w:evenHBand="0" w:firstRowFirstColumn="0" w:firstRowLastColumn="0" w:lastRowFirstColumn="0" w:lastRowLastColumn="0"/>
            <w:tcW w:w="4320" w:type="dxa"/>
          </w:tcPr>
          <w:p w14:paraId="1EEB3970" w14:textId="77777777" w:rsidR="00E24EC1" w:rsidRDefault="00000000">
            <w:pPr>
              <w:rPr>
                <w:sz w:val="20"/>
                <w:szCs w:val="20"/>
              </w:rPr>
            </w:pPr>
            <w:r>
              <w:rPr>
                <w:sz w:val="20"/>
                <w:szCs w:val="20"/>
              </w:rPr>
              <w:t>Golden eagle (Aquila chrysaetos)</w:t>
            </w:r>
          </w:p>
        </w:tc>
        <w:tc>
          <w:tcPr>
            <w:tcW w:w="4320" w:type="dxa"/>
          </w:tcPr>
          <w:p w14:paraId="4107525B"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Least Concern</w:t>
            </w:r>
          </w:p>
        </w:tc>
      </w:tr>
      <w:tr w:rsidR="00E24EC1" w14:paraId="3E900874"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7F5666B" w14:textId="77777777" w:rsidR="00E24EC1" w:rsidRDefault="00000000">
            <w:pPr>
              <w:rPr>
                <w:sz w:val="20"/>
                <w:szCs w:val="20"/>
              </w:rPr>
            </w:pPr>
            <w:r>
              <w:rPr>
                <w:sz w:val="20"/>
                <w:szCs w:val="20"/>
              </w:rPr>
              <w:t>Capercaillie (Tetrao urogallus)</w:t>
            </w:r>
          </w:p>
        </w:tc>
        <w:tc>
          <w:tcPr>
            <w:tcW w:w="4320" w:type="dxa"/>
          </w:tcPr>
          <w:p w14:paraId="6C66CB3E" w14:textId="77777777" w:rsidR="00E24EC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Near Threatened</w:t>
            </w:r>
          </w:p>
        </w:tc>
      </w:tr>
      <w:tr w:rsidR="00E24EC1" w14:paraId="77603C90" w14:textId="77777777" w:rsidTr="00E24EC1">
        <w:tc>
          <w:tcPr>
            <w:cnfStyle w:val="001000000000" w:firstRow="0" w:lastRow="0" w:firstColumn="1" w:lastColumn="0" w:oddVBand="0" w:evenVBand="0" w:oddHBand="0" w:evenHBand="0" w:firstRowFirstColumn="0" w:firstRowLastColumn="0" w:lastRowFirstColumn="0" w:lastRowLastColumn="0"/>
            <w:tcW w:w="4320" w:type="dxa"/>
          </w:tcPr>
          <w:p w14:paraId="36A11897" w14:textId="77777777" w:rsidR="00E24EC1" w:rsidRDefault="00000000">
            <w:pPr>
              <w:rPr>
                <w:sz w:val="20"/>
                <w:szCs w:val="20"/>
              </w:rPr>
            </w:pPr>
            <w:r>
              <w:rPr>
                <w:sz w:val="20"/>
                <w:szCs w:val="20"/>
              </w:rPr>
              <w:t>Balkan chamois (</w:t>
            </w:r>
            <w:proofErr w:type="spellStart"/>
            <w:r>
              <w:rPr>
                <w:sz w:val="20"/>
                <w:szCs w:val="20"/>
              </w:rPr>
              <w:t>Rupicaprarupicaprabalcanica</w:t>
            </w:r>
            <w:proofErr w:type="spellEnd"/>
            <w:r>
              <w:rPr>
                <w:sz w:val="20"/>
                <w:szCs w:val="20"/>
              </w:rPr>
              <w:t>)</w:t>
            </w:r>
          </w:p>
        </w:tc>
        <w:tc>
          <w:tcPr>
            <w:tcW w:w="4320" w:type="dxa"/>
          </w:tcPr>
          <w:p w14:paraId="5D393983"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Least Concern</w:t>
            </w:r>
          </w:p>
        </w:tc>
      </w:tr>
    </w:tbl>
    <w:p w14:paraId="420068AF" w14:textId="77777777" w:rsidR="00E24EC1" w:rsidRDefault="00000000">
      <w:pPr>
        <w:pBdr>
          <w:top w:val="nil"/>
          <w:left w:val="nil"/>
          <w:bottom w:val="nil"/>
          <w:right w:val="nil"/>
          <w:between w:val="nil"/>
        </w:pBdr>
        <w:rPr>
          <w:i/>
          <w:sz w:val="20"/>
          <w:szCs w:val="20"/>
        </w:rPr>
      </w:pPr>
      <w:r>
        <w:rPr>
          <w:i/>
          <w:sz w:val="20"/>
          <w:szCs w:val="20"/>
        </w:rPr>
        <w:t>IUCN Red List of Threatened Species. Retrieved from https://www.iucnredlist.org</w:t>
      </w:r>
    </w:p>
    <w:p w14:paraId="24BCCB88" w14:textId="77777777" w:rsidR="00E24EC1" w:rsidRDefault="00E24EC1">
      <w:pPr>
        <w:pBdr>
          <w:top w:val="nil"/>
          <w:left w:val="nil"/>
          <w:bottom w:val="nil"/>
          <w:right w:val="nil"/>
          <w:between w:val="nil"/>
        </w:pBdr>
        <w:jc w:val="both"/>
        <w:rPr>
          <w:rFonts w:ascii="Trebuchet MS" w:eastAsia="Trebuchet MS" w:hAnsi="Trebuchet MS" w:cs="Trebuchet MS"/>
        </w:rPr>
      </w:pPr>
    </w:p>
    <w:p w14:paraId="79D8DE98"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Montenegro’s forests store a significant amount of carbon—estimated at 46.7 million </w:t>
      </w:r>
      <w:proofErr w:type="spellStart"/>
      <w:r>
        <w:rPr>
          <w:rFonts w:ascii="Trebuchet MS" w:eastAsia="Trebuchet MS" w:hAnsi="Trebuchet MS" w:cs="Trebuchet MS"/>
          <w:sz w:val="20"/>
          <w:szCs w:val="20"/>
        </w:rPr>
        <w:t>tonnes</w:t>
      </w:r>
      <w:proofErr w:type="spellEnd"/>
      <w:r>
        <w:rPr>
          <w:rFonts w:ascii="Trebuchet MS" w:eastAsia="Trebuchet MS" w:hAnsi="Trebuchet MS" w:cs="Trebuchet MS"/>
          <w:sz w:val="20"/>
          <w:szCs w:val="20"/>
        </w:rPr>
        <w:t>, with about 90% stored in above-ground biomass, making them a vital tool in climate change mitigation efforts. Their provisioning, regulating, and cultural ecosystem services include soil protection, water regulation, air purification, renewable energy through biomass, and resources for medicinal herbs and wild food.</w:t>
      </w:r>
    </w:p>
    <w:p w14:paraId="0FE06448" w14:textId="77777777" w:rsidR="00E24EC1" w:rsidRDefault="00000000">
      <w:pPr>
        <w:rPr>
          <w:rFonts w:ascii="Trebuchet MS" w:eastAsia="Trebuchet MS" w:hAnsi="Trebuchet MS" w:cs="Trebuchet MS"/>
          <w:b/>
          <w:i/>
          <w:sz w:val="20"/>
          <w:szCs w:val="20"/>
        </w:rPr>
      </w:pPr>
      <w:r>
        <w:rPr>
          <w:rFonts w:ascii="Trebuchet MS" w:eastAsia="Trebuchet MS" w:hAnsi="Trebuchet MS" w:cs="Trebuchet MS"/>
          <w:b/>
          <w:i/>
          <w:sz w:val="20"/>
          <w:szCs w:val="20"/>
        </w:rPr>
        <w:t>Table 2: Forest Carbon Stock in Montenegro</w:t>
      </w:r>
    </w:p>
    <w:tbl>
      <w:tblPr>
        <w:tblStyle w:val="aa"/>
        <w:tblW w:w="630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785"/>
        <w:gridCol w:w="2515"/>
      </w:tblGrid>
      <w:tr w:rsidR="00E24EC1" w14:paraId="16F7EFDE" w14:textId="77777777" w:rsidTr="00E24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5" w:type="dxa"/>
          </w:tcPr>
          <w:p w14:paraId="2E73E9C3" w14:textId="77777777" w:rsidR="00E24EC1" w:rsidRDefault="00000000">
            <w:r>
              <w:t>Category</w:t>
            </w:r>
          </w:p>
        </w:tc>
        <w:tc>
          <w:tcPr>
            <w:tcW w:w="2515" w:type="dxa"/>
          </w:tcPr>
          <w:p w14:paraId="2FDB9BE2" w14:textId="77777777" w:rsidR="00E24EC1" w:rsidRDefault="00000000">
            <w:pPr>
              <w:cnfStyle w:val="100000000000" w:firstRow="1" w:lastRow="0" w:firstColumn="0" w:lastColumn="0" w:oddVBand="0" w:evenVBand="0" w:oddHBand="0" w:evenHBand="0" w:firstRowFirstColumn="0" w:firstRowLastColumn="0" w:lastRowFirstColumn="0" w:lastRowLastColumn="0"/>
            </w:pPr>
            <w:r>
              <w:t>Value</w:t>
            </w:r>
          </w:p>
        </w:tc>
      </w:tr>
      <w:tr w:rsidR="00E24EC1" w14:paraId="1B4427DC"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5" w:type="dxa"/>
          </w:tcPr>
          <w:p w14:paraId="40B9C50E" w14:textId="77777777" w:rsidR="00E24EC1" w:rsidRDefault="00000000">
            <w:r>
              <w:t>Total Forest Carbon Stock (Mt)</w:t>
            </w:r>
          </w:p>
        </w:tc>
        <w:tc>
          <w:tcPr>
            <w:tcW w:w="2515" w:type="dxa"/>
          </w:tcPr>
          <w:p w14:paraId="31C986C6" w14:textId="77777777" w:rsidR="00E24EC1" w:rsidRDefault="00000000">
            <w:pPr>
              <w:cnfStyle w:val="000000100000" w:firstRow="0" w:lastRow="0" w:firstColumn="0" w:lastColumn="0" w:oddVBand="0" w:evenVBand="0" w:oddHBand="1" w:evenHBand="0" w:firstRowFirstColumn="0" w:firstRowLastColumn="0" w:lastRowFirstColumn="0" w:lastRowLastColumn="0"/>
            </w:pPr>
            <w:r>
              <w:t>46.7</w:t>
            </w:r>
          </w:p>
        </w:tc>
      </w:tr>
      <w:tr w:rsidR="00E24EC1" w14:paraId="01ED5636" w14:textId="77777777" w:rsidTr="00E24EC1">
        <w:tc>
          <w:tcPr>
            <w:cnfStyle w:val="001000000000" w:firstRow="0" w:lastRow="0" w:firstColumn="1" w:lastColumn="0" w:oddVBand="0" w:evenVBand="0" w:oddHBand="0" w:evenHBand="0" w:firstRowFirstColumn="0" w:firstRowLastColumn="0" w:lastRowFirstColumn="0" w:lastRowLastColumn="0"/>
            <w:tcW w:w="3785" w:type="dxa"/>
          </w:tcPr>
          <w:p w14:paraId="20B9D2CE" w14:textId="77777777" w:rsidR="00E24EC1" w:rsidRDefault="00000000">
            <w:r>
              <w:t>Above-Ground Biomass (%)</w:t>
            </w:r>
          </w:p>
        </w:tc>
        <w:tc>
          <w:tcPr>
            <w:tcW w:w="2515" w:type="dxa"/>
          </w:tcPr>
          <w:p w14:paraId="13D8DEF0" w14:textId="77777777" w:rsidR="00E24EC1" w:rsidRDefault="00000000">
            <w:pPr>
              <w:cnfStyle w:val="000000000000" w:firstRow="0" w:lastRow="0" w:firstColumn="0" w:lastColumn="0" w:oddVBand="0" w:evenVBand="0" w:oddHBand="0" w:evenHBand="0" w:firstRowFirstColumn="0" w:firstRowLastColumn="0" w:lastRowFirstColumn="0" w:lastRowLastColumn="0"/>
            </w:pPr>
            <w:r>
              <w:t>90%</w:t>
            </w:r>
          </w:p>
        </w:tc>
      </w:tr>
    </w:tbl>
    <w:p w14:paraId="091111DD" w14:textId="77777777" w:rsidR="00E24EC1" w:rsidRDefault="00000000">
      <w:pPr>
        <w:pBdr>
          <w:top w:val="nil"/>
          <w:left w:val="nil"/>
          <w:bottom w:val="nil"/>
          <w:right w:val="nil"/>
          <w:between w:val="nil"/>
        </w:pBdr>
        <w:rPr>
          <w:rFonts w:ascii="Trebuchet MS" w:eastAsia="Trebuchet MS" w:hAnsi="Trebuchet MS" w:cs="Trebuchet MS"/>
          <w:i/>
          <w:color w:val="FF0000"/>
        </w:rPr>
      </w:pPr>
      <w:r>
        <w:rPr>
          <w:i/>
        </w:rPr>
        <w:t>Montenegro National Forest Inventory and Biodiversity Strategy (2022). Government of Montenegro.</w:t>
      </w:r>
    </w:p>
    <w:p w14:paraId="6EE70042" w14:textId="77777777" w:rsidR="00E24EC1" w:rsidRDefault="00E24EC1">
      <w:pPr>
        <w:pBdr>
          <w:top w:val="nil"/>
          <w:left w:val="nil"/>
          <w:bottom w:val="nil"/>
          <w:right w:val="nil"/>
          <w:between w:val="nil"/>
        </w:pBdr>
        <w:jc w:val="both"/>
        <w:rPr>
          <w:rFonts w:ascii="Trebuchet MS" w:eastAsia="Trebuchet MS" w:hAnsi="Trebuchet MS" w:cs="Trebuchet MS"/>
        </w:rPr>
      </w:pPr>
    </w:p>
    <w:p w14:paraId="2F01E4EC"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However, forests in Montenegro are not only ecosystems—they are also living cultural landscapes. In many northern and eastern regions, especially in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Prokletije, Kuči, and Hajla, forest use is deeply embedded in traditional practices. The katun system, a seasonal transhumance settlement model, represents a fusion of ecological adaptation and cultural resilience, relying heavily on local wood for architecture, tools, fences, and storage structures.</w:t>
      </w:r>
    </w:p>
    <w:p w14:paraId="76B7ED26"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Wood is central to the vernacular identity of these regions. Katuns, the seasonal settlements used for transhumance, often feature log construction, symbolic wood carvings, and multi-functional wooden structures such as drying racks, storage huts, and stables. These are designed with ecological knowledge: using local species (e.g., beech for structure, juniper for insect protection), adapting to terrain and climate, and constructed through collective community effort.</w:t>
      </w:r>
    </w:p>
    <w:p w14:paraId="0911CC96" w14:textId="77777777" w:rsidR="00E24EC1" w:rsidRDefault="00E24EC1">
      <w:pPr>
        <w:pBdr>
          <w:top w:val="nil"/>
          <w:left w:val="nil"/>
          <w:bottom w:val="nil"/>
          <w:right w:val="nil"/>
          <w:between w:val="nil"/>
        </w:pBdr>
        <w:rPr>
          <w:rFonts w:ascii="Trebuchet MS" w:eastAsia="Trebuchet MS" w:hAnsi="Trebuchet MS" w:cs="Trebuchet MS"/>
          <w:sz w:val="20"/>
          <w:szCs w:val="20"/>
        </w:rPr>
      </w:pPr>
    </w:p>
    <w:p w14:paraId="0AE23AB0" w14:textId="77777777" w:rsidR="00E24EC1" w:rsidRDefault="00000000">
      <w:pPr>
        <w:pBdr>
          <w:top w:val="nil"/>
          <w:left w:val="nil"/>
          <w:bottom w:val="nil"/>
          <w:right w:val="nil"/>
          <w:between w:val="nil"/>
        </w:pBdr>
        <w:jc w:val="center"/>
        <w:rPr>
          <w:rFonts w:ascii="Trebuchet MS" w:eastAsia="Trebuchet MS" w:hAnsi="Trebuchet MS" w:cs="Trebuchet MS"/>
        </w:rPr>
      </w:pPr>
      <w:r>
        <w:rPr>
          <w:noProof/>
        </w:rPr>
        <w:drawing>
          <wp:inline distT="0" distB="0" distL="0" distR="0" wp14:anchorId="54F9BAD8" wp14:editId="0B81E510">
            <wp:extent cx="5762625" cy="3955415"/>
            <wp:effectExtent l="0" t="0" r="0" b="0"/>
            <wp:docPr id="19910723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62625" cy="3955415"/>
                    </a:xfrm>
                    <a:prstGeom prst="rect">
                      <a:avLst/>
                    </a:prstGeom>
                    <a:ln/>
                  </pic:spPr>
                </pic:pic>
              </a:graphicData>
            </a:graphic>
          </wp:inline>
        </w:drawing>
      </w:r>
    </w:p>
    <w:p w14:paraId="23F21B26" w14:textId="77777777" w:rsidR="00E24EC1" w:rsidRDefault="00000000">
      <w:pPr>
        <w:pBdr>
          <w:top w:val="nil"/>
          <w:left w:val="nil"/>
          <w:bottom w:val="nil"/>
          <w:right w:val="nil"/>
          <w:between w:val="nil"/>
        </w:pBdr>
        <w:jc w:val="center"/>
        <w:rPr>
          <w:rFonts w:ascii="Trebuchet MS" w:eastAsia="Trebuchet MS" w:hAnsi="Trebuchet MS" w:cs="Trebuchet MS"/>
          <w:i/>
        </w:rPr>
      </w:pPr>
      <w:r>
        <w:rPr>
          <w:rFonts w:ascii="Trebuchet MS" w:eastAsia="Trebuchet MS" w:hAnsi="Trebuchet MS" w:cs="Trebuchet MS"/>
          <w:i/>
        </w:rPr>
        <w:t xml:space="preserve">Katun on </w:t>
      </w:r>
      <w:proofErr w:type="spellStart"/>
      <w:r>
        <w:rPr>
          <w:rFonts w:ascii="Trebuchet MS" w:eastAsia="Trebuchet MS" w:hAnsi="Trebuchet MS" w:cs="Trebuchet MS"/>
          <w:i/>
        </w:rPr>
        <w:t>Bjelasica</w:t>
      </w:r>
      <w:proofErr w:type="spellEnd"/>
      <w:r>
        <w:rPr>
          <w:rFonts w:ascii="Trebuchet MS" w:eastAsia="Trebuchet MS" w:hAnsi="Trebuchet MS" w:cs="Trebuchet MS"/>
          <w:i/>
        </w:rPr>
        <w:t xml:space="preserve"> Mountain, photo by RDA BKP</w:t>
      </w:r>
    </w:p>
    <w:p w14:paraId="1A0856E6"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The intangible heritage connected to forests is equally rich. Epic poetry and ritual music, performed with the gusle (a single-string instrument carved from maple), is a defining feature of Montenegrin identity and is closely tied to forest resources. Other knowledge systems include herbal medicine, seasonal foraging, wood carving, and open-fire cooking in forest settings.</w:t>
      </w:r>
    </w:p>
    <w:p w14:paraId="4CFA8414" w14:textId="77777777" w:rsidR="00E24EC1" w:rsidRDefault="00000000">
      <w:pPr>
        <w:pBdr>
          <w:top w:val="nil"/>
          <w:left w:val="nil"/>
          <w:bottom w:val="nil"/>
          <w:right w:val="nil"/>
          <w:between w:val="nil"/>
        </w:pBdr>
        <w:jc w:val="center"/>
        <w:rPr>
          <w:rFonts w:ascii="Trebuchet MS" w:eastAsia="Trebuchet MS" w:hAnsi="Trebuchet MS" w:cs="Trebuchet MS"/>
        </w:rPr>
      </w:pPr>
      <w:r>
        <w:rPr>
          <w:noProof/>
        </w:rPr>
        <w:lastRenderedPageBreak/>
        <w:drawing>
          <wp:inline distT="0" distB="0" distL="0" distR="0" wp14:anchorId="113D3C34" wp14:editId="753B62DD">
            <wp:extent cx="4277081" cy="3058289"/>
            <wp:effectExtent l="0" t="0" r="0" b="0"/>
            <wp:docPr id="19910723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277081" cy="3058289"/>
                    </a:xfrm>
                    <a:prstGeom prst="rect">
                      <a:avLst/>
                    </a:prstGeom>
                    <a:ln/>
                  </pic:spPr>
                </pic:pic>
              </a:graphicData>
            </a:graphic>
          </wp:inline>
        </w:drawing>
      </w:r>
    </w:p>
    <w:p w14:paraId="41A9DAE4" w14:textId="77777777" w:rsidR="00E24EC1" w:rsidRDefault="00000000">
      <w:pPr>
        <w:pBdr>
          <w:top w:val="nil"/>
          <w:left w:val="nil"/>
          <w:bottom w:val="nil"/>
          <w:right w:val="nil"/>
          <w:between w:val="nil"/>
        </w:pBdr>
        <w:jc w:val="center"/>
        <w:rPr>
          <w:rFonts w:ascii="Trebuchet MS" w:eastAsia="Trebuchet MS" w:hAnsi="Trebuchet MS" w:cs="Trebuchet MS"/>
          <w:i/>
          <w:sz w:val="20"/>
          <w:szCs w:val="20"/>
        </w:rPr>
      </w:pPr>
      <w:r>
        <w:rPr>
          <w:rFonts w:ascii="Trebuchet MS" w:eastAsia="Trebuchet MS" w:hAnsi="Trebuchet MS" w:cs="Trebuchet MS"/>
          <w:i/>
          <w:sz w:val="20"/>
          <w:szCs w:val="20"/>
        </w:rPr>
        <w:t>Gusle – national instrument in Montenegro</w:t>
      </w:r>
    </w:p>
    <w:p w14:paraId="2C3F3EB0"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Montenegro's commitment to conservation is reflected in its significant network of protected areas, which together cover 13.2% of the country’s territory. Forest ecosystems form the ecological backbone of many of these areas. The country boasts five national parks—</w:t>
      </w:r>
      <w:proofErr w:type="spellStart"/>
      <w:r>
        <w:rPr>
          <w:rFonts w:ascii="Trebuchet MS" w:eastAsia="Trebuchet MS" w:hAnsi="Trebuchet MS" w:cs="Trebuchet MS"/>
          <w:sz w:val="20"/>
          <w:szCs w:val="20"/>
        </w:rPr>
        <w:t>Durmitor</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Biogradska</w:t>
      </w:r>
      <w:proofErr w:type="spellEnd"/>
      <w:r>
        <w:rPr>
          <w:rFonts w:ascii="Trebuchet MS" w:eastAsia="Trebuchet MS" w:hAnsi="Trebuchet MS" w:cs="Trebuchet MS"/>
          <w:sz w:val="20"/>
          <w:szCs w:val="20"/>
        </w:rPr>
        <w:t xml:space="preserve"> Gora, </w:t>
      </w:r>
      <w:proofErr w:type="spellStart"/>
      <w:r>
        <w:rPr>
          <w:rFonts w:ascii="Trebuchet MS" w:eastAsia="Trebuchet MS" w:hAnsi="Trebuchet MS" w:cs="Trebuchet MS"/>
          <w:sz w:val="20"/>
          <w:szCs w:val="20"/>
        </w:rPr>
        <w:t>Lovćen</w:t>
      </w:r>
      <w:proofErr w:type="spellEnd"/>
      <w:r>
        <w:rPr>
          <w:rFonts w:ascii="Trebuchet MS" w:eastAsia="Trebuchet MS" w:hAnsi="Trebuchet MS" w:cs="Trebuchet MS"/>
          <w:sz w:val="20"/>
          <w:szCs w:val="20"/>
        </w:rPr>
        <w:t xml:space="preserve">, Prokletije, and </w:t>
      </w:r>
      <w:proofErr w:type="spellStart"/>
      <w:r>
        <w:rPr>
          <w:rFonts w:ascii="Trebuchet MS" w:eastAsia="Trebuchet MS" w:hAnsi="Trebuchet MS" w:cs="Trebuchet MS"/>
          <w:sz w:val="20"/>
          <w:szCs w:val="20"/>
        </w:rPr>
        <w:t>Skadar</w:t>
      </w:r>
      <w:proofErr w:type="spellEnd"/>
      <w:r>
        <w:rPr>
          <w:rFonts w:ascii="Trebuchet MS" w:eastAsia="Trebuchet MS" w:hAnsi="Trebuchet MS" w:cs="Trebuchet MS"/>
          <w:sz w:val="20"/>
          <w:szCs w:val="20"/>
        </w:rPr>
        <w:t xml:space="preserve"> Lake—as well as several regional nature parks, including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Piva, and </w:t>
      </w:r>
      <w:proofErr w:type="spellStart"/>
      <w:r>
        <w:rPr>
          <w:rFonts w:ascii="Trebuchet MS" w:eastAsia="Trebuchet MS" w:hAnsi="Trebuchet MS" w:cs="Trebuchet MS"/>
          <w:sz w:val="20"/>
          <w:szCs w:val="20"/>
        </w:rPr>
        <w:t>Orjen</w:t>
      </w:r>
      <w:proofErr w:type="spellEnd"/>
      <w:r>
        <w:rPr>
          <w:rFonts w:ascii="Trebuchet MS" w:eastAsia="Trebuchet MS" w:hAnsi="Trebuchet MS" w:cs="Trebuchet MS"/>
          <w:sz w:val="20"/>
          <w:szCs w:val="20"/>
        </w:rPr>
        <w:t xml:space="preserve">. Among them, </w:t>
      </w:r>
      <w:proofErr w:type="spellStart"/>
      <w:r>
        <w:rPr>
          <w:rFonts w:ascii="Trebuchet MS" w:eastAsia="Trebuchet MS" w:hAnsi="Trebuchet MS" w:cs="Trebuchet MS"/>
          <w:sz w:val="20"/>
          <w:szCs w:val="20"/>
        </w:rPr>
        <w:t>Biogradska</w:t>
      </w:r>
      <w:proofErr w:type="spellEnd"/>
      <w:r>
        <w:rPr>
          <w:rFonts w:ascii="Trebuchet MS" w:eastAsia="Trebuchet MS" w:hAnsi="Trebuchet MS" w:cs="Trebuchet MS"/>
          <w:sz w:val="20"/>
          <w:szCs w:val="20"/>
        </w:rPr>
        <w:t xml:space="preserve"> Gora National Park is one of the last remaining primeval forests in Europe, with trees over 400 years old and exceptional biodiversity.</w:t>
      </w:r>
    </w:p>
    <w:p w14:paraId="1154A1F5"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These forest-rich landscapes are not only protected for their ecological value but also represent centuries of harmonious coexistence between people and nature. The boundaries of many parks include seasonal settlements and traditional katun systems, where forest use, pasture management, and cultural practices intersect. However, these areas are still underutilized in terms of their cultural interpretation and could play a much larger role in sustainable, heritage-based tourism.</w:t>
      </w:r>
    </w:p>
    <w:p w14:paraId="76D5FA6F"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Yet these assets face multiple pressures: depopulation of rural areas, loss of traditional knowledge, unsustainable timber practices, and increased tourism in ecologically fragile zones. The erosion of intergenerational knowledge transfer is particularly visible in forest-related crafts and rituals, now at risk of being lost unless deliberately revitalized.</w:t>
      </w:r>
    </w:p>
    <w:p w14:paraId="09F56AA4"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Nonetheless, these pressures are counterbalanced by emerging opportunities. Montenegro is experiencing a growing interest in eco-conscious tourism, traditional food and crafts, and authentic rural experiences, especially in the post-pandemic period. This creates a unique window for forest-based cultural heritage to be rediscovered, revalued, and integrated into sustainable development models, particularly through community engagement, women’s knowledge, and youth participation.</w:t>
      </w:r>
    </w:p>
    <w:p w14:paraId="2708C1DD"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The Danube Wood(s)Route offers a transnational platform to connect these local efforts into a broader initiative. Montenegro’s combination of natural richness and cultural depth provides fertile ground to contribute to the Route’s mission—protecting biodiversity, celebrating forest heritage, and supporting rural resilience through nature-based and culture-driven actions.</w:t>
      </w:r>
    </w:p>
    <w:p w14:paraId="1601FC2D" w14:textId="77777777" w:rsidR="00E24EC1" w:rsidRDefault="00E24EC1">
      <w:pPr>
        <w:pBdr>
          <w:top w:val="nil"/>
          <w:left w:val="nil"/>
          <w:bottom w:val="nil"/>
          <w:right w:val="nil"/>
          <w:between w:val="nil"/>
        </w:pBdr>
        <w:rPr>
          <w:rFonts w:ascii="Trebuchet MS" w:eastAsia="Trebuchet MS" w:hAnsi="Trebuchet MS" w:cs="Trebuchet MS"/>
          <w:sz w:val="20"/>
          <w:szCs w:val="20"/>
        </w:rPr>
      </w:pPr>
    </w:p>
    <w:p w14:paraId="6534095C" w14:textId="77777777" w:rsidR="00E24EC1" w:rsidRDefault="00E24EC1">
      <w:pPr>
        <w:pBdr>
          <w:top w:val="nil"/>
          <w:left w:val="nil"/>
          <w:bottom w:val="nil"/>
          <w:right w:val="nil"/>
          <w:between w:val="nil"/>
        </w:pBdr>
        <w:rPr>
          <w:rFonts w:ascii="Trebuchet MS" w:eastAsia="Trebuchet MS" w:hAnsi="Trebuchet MS" w:cs="Trebuchet MS"/>
          <w:sz w:val="20"/>
          <w:szCs w:val="20"/>
        </w:rPr>
      </w:pPr>
    </w:p>
    <w:p w14:paraId="18580569" w14:textId="77777777" w:rsidR="00E24EC1" w:rsidRDefault="00E24EC1">
      <w:pPr>
        <w:pBdr>
          <w:top w:val="nil"/>
          <w:left w:val="nil"/>
          <w:bottom w:val="nil"/>
          <w:right w:val="nil"/>
          <w:between w:val="nil"/>
        </w:pBdr>
        <w:rPr>
          <w:rFonts w:ascii="Trebuchet MS" w:eastAsia="Trebuchet MS" w:hAnsi="Trebuchet MS" w:cs="Trebuchet MS"/>
        </w:rPr>
      </w:pPr>
    </w:p>
    <w:p w14:paraId="03D451B5" w14:textId="77777777" w:rsidR="00E24EC1" w:rsidRDefault="00E24EC1">
      <w:pPr>
        <w:pBdr>
          <w:top w:val="nil"/>
          <w:left w:val="nil"/>
          <w:bottom w:val="nil"/>
          <w:right w:val="nil"/>
          <w:between w:val="nil"/>
        </w:pBdr>
        <w:rPr>
          <w:rFonts w:ascii="Trebuchet MS" w:eastAsia="Trebuchet MS" w:hAnsi="Trebuchet MS" w:cs="Trebuchet MS"/>
        </w:rPr>
      </w:pPr>
    </w:p>
    <w:p w14:paraId="034F47F4" w14:textId="77777777" w:rsidR="00E24EC1" w:rsidRDefault="00E24EC1">
      <w:pPr>
        <w:pBdr>
          <w:top w:val="nil"/>
          <w:left w:val="nil"/>
          <w:bottom w:val="nil"/>
          <w:right w:val="nil"/>
          <w:between w:val="nil"/>
        </w:pBdr>
        <w:rPr>
          <w:rFonts w:ascii="Trebuchet MS" w:eastAsia="Trebuchet MS" w:hAnsi="Trebuchet MS" w:cs="Trebuchet MS"/>
        </w:rPr>
      </w:pPr>
    </w:p>
    <w:p w14:paraId="1387FBCA" w14:textId="77777777" w:rsidR="00E24EC1" w:rsidRDefault="00E24EC1">
      <w:pPr>
        <w:pBdr>
          <w:top w:val="nil"/>
          <w:left w:val="nil"/>
          <w:bottom w:val="nil"/>
          <w:right w:val="nil"/>
          <w:between w:val="nil"/>
        </w:pBdr>
        <w:rPr>
          <w:rFonts w:ascii="Trebuchet MS" w:eastAsia="Trebuchet MS" w:hAnsi="Trebuchet MS" w:cs="Trebuchet MS"/>
        </w:rPr>
      </w:pPr>
    </w:p>
    <w:p w14:paraId="62D324F0" w14:textId="77777777" w:rsidR="00E24EC1" w:rsidRDefault="00E24EC1">
      <w:pPr>
        <w:pBdr>
          <w:top w:val="nil"/>
          <w:left w:val="nil"/>
          <w:bottom w:val="nil"/>
          <w:right w:val="nil"/>
          <w:between w:val="nil"/>
        </w:pBdr>
        <w:rPr>
          <w:rFonts w:ascii="Trebuchet MS" w:eastAsia="Trebuchet MS" w:hAnsi="Trebuchet MS" w:cs="Trebuchet MS"/>
        </w:rPr>
      </w:pPr>
    </w:p>
    <w:p w14:paraId="593CF0A4" w14:textId="77777777" w:rsidR="00E24EC1" w:rsidRDefault="00E24EC1">
      <w:pPr>
        <w:pBdr>
          <w:top w:val="nil"/>
          <w:left w:val="nil"/>
          <w:bottom w:val="nil"/>
          <w:right w:val="nil"/>
          <w:between w:val="nil"/>
        </w:pBdr>
        <w:rPr>
          <w:rFonts w:ascii="Trebuchet MS" w:eastAsia="Trebuchet MS" w:hAnsi="Trebuchet MS" w:cs="Trebuchet MS"/>
        </w:rPr>
      </w:pPr>
    </w:p>
    <w:p w14:paraId="11E89B2C" w14:textId="77777777" w:rsidR="00E24EC1" w:rsidRDefault="00E24EC1">
      <w:pPr>
        <w:pBdr>
          <w:top w:val="nil"/>
          <w:left w:val="nil"/>
          <w:bottom w:val="nil"/>
          <w:right w:val="nil"/>
          <w:between w:val="nil"/>
        </w:pBdr>
        <w:rPr>
          <w:rFonts w:ascii="Trebuchet MS" w:eastAsia="Trebuchet MS" w:hAnsi="Trebuchet MS" w:cs="Trebuchet MS"/>
        </w:rPr>
      </w:pPr>
    </w:p>
    <w:p w14:paraId="2395A76D" w14:textId="77777777" w:rsidR="00E24EC1" w:rsidRDefault="00E24EC1">
      <w:pPr>
        <w:pBdr>
          <w:top w:val="nil"/>
          <w:left w:val="nil"/>
          <w:bottom w:val="nil"/>
          <w:right w:val="nil"/>
          <w:between w:val="nil"/>
        </w:pBdr>
        <w:rPr>
          <w:rFonts w:ascii="Trebuchet MS" w:eastAsia="Trebuchet MS" w:hAnsi="Trebuchet MS" w:cs="Trebuchet MS"/>
        </w:rPr>
      </w:pPr>
    </w:p>
    <w:p w14:paraId="3F44BC2B" w14:textId="77777777" w:rsidR="00E24EC1" w:rsidRDefault="00000000">
      <w:pPr>
        <w:pStyle w:val="Naslov2"/>
        <w:numPr>
          <w:ilvl w:val="1"/>
          <w:numId w:val="6"/>
        </w:numPr>
      </w:pPr>
      <w:bookmarkStart w:id="5" w:name="_heading=h.40uv8xyc50c6" w:colFirst="0" w:colLast="0"/>
      <w:bookmarkEnd w:id="5"/>
      <w:r>
        <w:lastRenderedPageBreak/>
        <w:t>Social and economic conditions in the region</w:t>
      </w:r>
    </w:p>
    <w:p w14:paraId="4AF3809B"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A99A2FB"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Montenegro’s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 is among the most economically challenged parts of the country. These areas are largely rural, mountainous, and sparsely populated, with aging demographics and a persistent trend of youth outmigration. According to national statistics, rural municipalities in the north face unemployment rates significantly above the national average, with limited access to health, education, and digital infrastructure.</w:t>
      </w:r>
    </w:p>
    <w:tbl>
      <w:tblPr>
        <w:tblStyle w:val="ab"/>
        <w:tblW w:w="4540" w:type="dxa"/>
        <w:tblInd w:w="2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00"/>
        <w:gridCol w:w="2940"/>
      </w:tblGrid>
      <w:tr w:rsidR="00E24EC1" w14:paraId="2742D891" w14:textId="77777777" w:rsidTr="00E24E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730E6DDE" w14:textId="77777777" w:rsidR="00E24EC1" w:rsidRDefault="00000000">
            <w:pPr>
              <w:rPr>
                <w:rFonts w:ascii="Calibri" w:eastAsia="Calibri" w:hAnsi="Calibri" w:cs="Calibri"/>
                <w:color w:val="000000"/>
                <w:sz w:val="22"/>
                <w:szCs w:val="22"/>
              </w:rPr>
            </w:pPr>
            <w:r>
              <w:rPr>
                <w:rFonts w:ascii="Calibri" w:eastAsia="Calibri" w:hAnsi="Calibri" w:cs="Calibri"/>
                <w:color w:val="000000"/>
                <w:sz w:val="22"/>
                <w:szCs w:val="22"/>
              </w:rPr>
              <w:t>Municipality</w:t>
            </w:r>
          </w:p>
        </w:tc>
        <w:tc>
          <w:tcPr>
            <w:tcW w:w="2940" w:type="dxa"/>
          </w:tcPr>
          <w:p w14:paraId="0B99D311" w14:textId="77777777" w:rsidR="00E24EC1"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Estimated Population (2021)</w:t>
            </w:r>
          </w:p>
        </w:tc>
      </w:tr>
      <w:tr w:rsidR="00E24EC1" w14:paraId="62484EBD" w14:textId="77777777" w:rsidTr="00E2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A7AFEA7"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Kolas¡in</w:t>
            </w:r>
            <w:proofErr w:type="spellEnd"/>
          </w:p>
        </w:tc>
        <w:tc>
          <w:tcPr>
            <w:tcW w:w="2940" w:type="dxa"/>
          </w:tcPr>
          <w:p w14:paraId="6B882D8C" w14:textId="77777777" w:rsidR="00E24EC1"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7800</w:t>
            </w:r>
          </w:p>
        </w:tc>
      </w:tr>
      <w:tr w:rsidR="00E24EC1" w14:paraId="62492184" w14:textId="77777777" w:rsidTr="00E24EC1">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B01A4AC"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Andrijevica</w:t>
            </w:r>
            <w:proofErr w:type="spellEnd"/>
          </w:p>
        </w:tc>
        <w:tc>
          <w:tcPr>
            <w:tcW w:w="2940" w:type="dxa"/>
          </w:tcPr>
          <w:p w14:paraId="5916FF33" w14:textId="77777777" w:rsidR="00E24EC1"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4700</w:t>
            </w:r>
          </w:p>
        </w:tc>
      </w:tr>
      <w:tr w:rsidR="00E24EC1" w14:paraId="52BEF2D7" w14:textId="77777777" w:rsidTr="00E2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2A97A490"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Berane</w:t>
            </w:r>
            <w:proofErr w:type="spellEnd"/>
          </w:p>
        </w:tc>
        <w:tc>
          <w:tcPr>
            <w:tcW w:w="2940" w:type="dxa"/>
          </w:tcPr>
          <w:p w14:paraId="1690F976" w14:textId="77777777" w:rsidR="00E24EC1"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27000</w:t>
            </w:r>
          </w:p>
        </w:tc>
      </w:tr>
      <w:tr w:rsidR="00E24EC1" w14:paraId="64132ABC" w14:textId="77777777" w:rsidTr="00E24EC1">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2770D2F" w14:textId="77777777" w:rsidR="00E24EC1" w:rsidRDefault="00000000">
            <w:pPr>
              <w:rPr>
                <w:rFonts w:ascii="Calibri" w:eastAsia="Calibri" w:hAnsi="Calibri" w:cs="Calibri"/>
                <w:color w:val="000000"/>
                <w:sz w:val="22"/>
                <w:szCs w:val="22"/>
              </w:rPr>
            </w:pPr>
            <w:r>
              <w:rPr>
                <w:rFonts w:ascii="Calibri" w:eastAsia="Calibri" w:hAnsi="Calibri" w:cs="Calibri"/>
                <w:color w:val="000000"/>
                <w:sz w:val="22"/>
                <w:szCs w:val="22"/>
              </w:rPr>
              <w:t>Plav</w:t>
            </w:r>
          </w:p>
        </w:tc>
        <w:tc>
          <w:tcPr>
            <w:tcW w:w="2940" w:type="dxa"/>
          </w:tcPr>
          <w:p w14:paraId="2C4166D8" w14:textId="77777777" w:rsidR="00E24EC1"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13000</w:t>
            </w:r>
          </w:p>
        </w:tc>
      </w:tr>
      <w:tr w:rsidR="00E24EC1" w14:paraId="015604F6" w14:textId="77777777" w:rsidTr="00E2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E5B5CF7"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Gusinje</w:t>
            </w:r>
            <w:proofErr w:type="spellEnd"/>
          </w:p>
        </w:tc>
        <w:tc>
          <w:tcPr>
            <w:tcW w:w="2940" w:type="dxa"/>
          </w:tcPr>
          <w:p w14:paraId="220A5470" w14:textId="77777777" w:rsidR="00E24EC1"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7000</w:t>
            </w:r>
          </w:p>
        </w:tc>
      </w:tr>
      <w:tr w:rsidR="00E24EC1" w14:paraId="7AAE24DC" w14:textId="77777777" w:rsidTr="00E24EC1">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5C0914A7"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Petnjica</w:t>
            </w:r>
            <w:proofErr w:type="spellEnd"/>
          </w:p>
        </w:tc>
        <w:tc>
          <w:tcPr>
            <w:tcW w:w="2940" w:type="dxa"/>
          </w:tcPr>
          <w:p w14:paraId="636A28DA" w14:textId="77777777" w:rsidR="00E24EC1"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5500</w:t>
            </w:r>
          </w:p>
        </w:tc>
      </w:tr>
      <w:tr w:rsidR="00E24EC1" w14:paraId="78F92541" w14:textId="77777777" w:rsidTr="00E2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5C8FAD2"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BijeloPolje</w:t>
            </w:r>
            <w:proofErr w:type="spellEnd"/>
          </w:p>
        </w:tc>
        <w:tc>
          <w:tcPr>
            <w:tcW w:w="2940" w:type="dxa"/>
          </w:tcPr>
          <w:p w14:paraId="0A4AF72D" w14:textId="77777777" w:rsidR="00E24EC1"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46000</w:t>
            </w:r>
          </w:p>
        </w:tc>
      </w:tr>
      <w:tr w:rsidR="00E24EC1" w14:paraId="66E02F1C" w14:textId="77777777" w:rsidTr="00E24EC1">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9171964"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Mojkovac</w:t>
            </w:r>
            <w:proofErr w:type="spellEnd"/>
          </w:p>
        </w:tc>
        <w:tc>
          <w:tcPr>
            <w:tcW w:w="2940" w:type="dxa"/>
          </w:tcPr>
          <w:p w14:paraId="5635BEA9" w14:textId="77777777" w:rsidR="00E24EC1" w:rsidRDefault="00000000">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8000</w:t>
            </w:r>
          </w:p>
        </w:tc>
      </w:tr>
      <w:tr w:rsidR="00E24EC1" w14:paraId="55A3E09E" w14:textId="77777777" w:rsidTr="00E24E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17C3D95" w14:textId="77777777" w:rsidR="00E24EC1" w:rsidRDefault="00000000">
            <w:pPr>
              <w:rPr>
                <w:rFonts w:ascii="Calibri" w:eastAsia="Calibri" w:hAnsi="Calibri" w:cs="Calibri"/>
                <w:color w:val="000000"/>
                <w:sz w:val="22"/>
                <w:szCs w:val="22"/>
              </w:rPr>
            </w:pPr>
            <w:r>
              <w:rPr>
                <w:rFonts w:ascii="Calibri" w:eastAsia="Calibri" w:hAnsi="Calibri" w:cs="Calibri"/>
                <w:color w:val="000000"/>
                <w:sz w:val="22"/>
                <w:szCs w:val="22"/>
              </w:rPr>
              <w:t>Total</w:t>
            </w:r>
          </w:p>
        </w:tc>
        <w:tc>
          <w:tcPr>
            <w:tcW w:w="2940" w:type="dxa"/>
          </w:tcPr>
          <w:p w14:paraId="565352FF" w14:textId="77777777" w:rsidR="00E24EC1" w:rsidRDefault="00000000">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119000</w:t>
            </w:r>
          </w:p>
        </w:tc>
      </w:tr>
    </w:tbl>
    <w:p w14:paraId="0AED0164"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Forests in these regions, while ecologically rich, are economically underutilized. The formal timber sector contributes modestly to national GDP, and illegal logging and informal firewood trade remain prevalent in certain areas. Local communities rely on forests primarily for subsistence purposes—fuelwood, wild food, pasture fencing, and construction materials—rather than through structured value chains or certification schemes.</w:t>
      </w:r>
    </w:p>
    <w:p w14:paraId="415B13B3"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Despite these challenges, there is significant potential for green, wood-related economies. The demand for authentic rural experiences, local craftsmanship, and sustainable tourism has grown, particularly since the COVID-19 pandemic. This opens new development avenues in the form of nature-based tourism, forest therapy, wood-based crafts, and storytelling around transhumance and traditional architecture. However, the development of these sectors requires targeted support, especially in skill development, digital promotion, and access to finance.</w:t>
      </w:r>
    </w:p>
    <w:p w14:paraId="5E0F809C"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Women and older generations play a key role in preserving forest-based knowledge, from herbal medicine and foraging to woodworking aesthetics and seasonal rituals. However, their contributions are often undervalued in local economic development strategies. The risk of losing this intangible knowledge due to depopulation is high unless mechanisms for intergenerational transfer and community-based </w:t>
      </w:r>
      <w:proofErr w:type="spellStart"/>
      <w:r>
        <w:rPr>
          <w:rFonts w:ascii="Trebuchet MS" w:eastAsia="Trebuchet MS" w:hAnsi="Trebuchet MS" w:cs="Trebuchet MS"/>
          <w:color w:val="000000"/>
          <w:sz w:val="20"/>
          <w:szCs w:val="20"/>
        </w:rPr>
        <w:t>valorisation</w:t>
      </w:r>
      <w:proofErr w:type="spellEnd"/>
      <w:r>
        <w:rPr>
          <w:rFonts w:ascii="Trebuchet MS" w:eastAsia="Trebuchet MS" w:hAnsi="Trebuchet MS" w:cs="Trebuchet MS"/>
          <w:color w:val="000000"/>
          <w:sz w:val="20"/>
          <w:szCs w:val="20"/>
        </w:rPr>
        <w:t xml:space="preserve"> are implemented.</w:t>
      </w:r>
    </w:p>
    <w:p w14:paraId="13C5BE8F"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In summary, forest-dependent areas of Montenegro face significant socio-economic challenges, but also offer fertile ground for innovation that connects biodiversity protection, cultural heritage, and sustainable economic development.</w:t>
      </w:r>
    </w:p>
    <w:p w14:paraId="242C3E48"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505E0AD3" w14:textId="77777777" w:rsidR="00E24EC1" w:rsidRDefault="00000000">
      <w:pPr>
        <w:pBdr>
          <w:top w:val="nil"/>
          <w:left w:val="nil"/>
          <w:bottom w:val="nil"/>
          <w:right w:val="nil"/>
          <w:between w:val="nil"/>
        </w:pBdr>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Demographic Trends</w:t>
      </w:r>
    </w:p>
    <w:p w14:paraId="42D2231C"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population across the region has been steadily declining due to long-term outmigration, particularly of young people seeking better opportunities in urban areas or abroad. For instance:</w:t>
      </w:r>
    </w:p>
    <w:p w14:paraId="1299B693" w14:textId="77777777" w:rsidR="00E24EC1" w:rsidRDefault="00000000">
      <w:pPr>
        <w:numPr>
          <w:ilvl w:val="0"/>
          <w:numId w:val="3"/>
        </w:numPr>
        <w:pBdr>
          <w:top w:val="nil"/>
          <w:left w:val="nil"/>
          <w:bottom w:val="nil"/>
          <w:right w:val="nil"/>
          <w:between w:val="nil"/>
        </w:pBdr>
        <w:jc w:val="both"/>
        <w:rPr>
          <w:rFonts w:ascii="Trebuchet MS" w:eastAsia="Trebuchet MS" w:hAnsi="Trebuchet MS" w:cs="Trebuchet MS"/>
          <w:color w:val="000000"/>
          <w:sz w:val="20"/>
          <w:szCs w:val="20"/>
        </w:rPr>
      </w:pPr>
      <w:proofErr w:type="spellStart"/>
      <w:r>
        <w:rPr>
          <w:rFonts w:ascii="Trebuchet MS" w:eastAsia="Trebuchet MS" w:hAnsi="Trebuchet MS" w:cs="Trebuchet MS"/>
          <w:color w:val="000000"/>
          <w:sz w:val="20"/>
          <w:szCs w:val="20"/>
        </w:rPr>
        <w:t>Kolašin’s</w:t>
      </w:r>
      <w:proofErr w:type="spellEnd"/>
      <w:r>
        <w:rPr>
          <w:rFonts w:ascii="Trebuchet MS" w:eastAsia="Trebuchet MS" w:hAnsi="Trebuchet MS" w:cs="Trebuchet MS"/>
          <w:color w:val="000000"/>
          <w:sz w:val="20"/>
          <w:szCs w:val="20"/>
        </w:rPr>
        <w:t xml:space="preserve"> population dropped from around 9,949 in 2003 to approximately 7,800 by 2021.</w:t>
      </w:r>
    </w:p>
    <w:p w14:paraId="2DFDF13B" w14:textId="77777777" w:rsidR="00E24EC1" w:rsidRDefault="00000000">
      <w:pPr>
        <w:numPr>
          <w:ilvl w:val="0"/>
          <w:numId w:val="3"/>
        </w:numPr>
        <w:pBdr>
          <w:top w:val="nil"/>
          <w:left w:val="nil"/>
          <w:bottom w:val="nil"/>
          <w:right w:val="nil"/>
          <w:between w:val="nil"/>
        </w:pBdr>
        <w:jc w:val="both"/>
        <w:rPr>
          <w:rFonts w:ascii="Trebuchet MS" w:eastAsia="Trebuchet MS" w:hAnsi="Trebuchet MS" w:cs="Trebuchet MS"/>
          <w:color w:val="000000"/>
          <w:sz w:val="20"/>
          <w:szCs w:val="20"/>
        </w:rPr>
      </w:pPr>
      <w:proofErr w:type="spellStart"/>
      <w:r>
        <w:rPr>
          <w:rFonts w:ascii="Trebuchet MS" w:eastAsia="Trebuchet MS" w:hAnsi="Trebuchet MS" w:cs="Trebuchet MS"/>
          <w:color w:val="000000"/>
          <w:sz w:val="20"/>
          <w:szCs w:val="20"/>
        </w:rPr>
        <w:t>Andrijevica</w:t>
      </w:r>
      <w:proofErr w:type="spellEnd"/>
      <w:r>
        <w:rPr>
          <w:rFonts w:ascii="Trebuchet MS" w:eastAsia="Trebuchet MS" w:hAnsi="Trebuchet MS" w:cs="Trebuchet MS"/>
          <w:color w:val="000000"/>
          <w:sz w:val="20"/>
          <w:szCs w:val="20"/>
        </w:rPr>
        <w:t xml:space="preserve"> has fewer than 5,000 residents today, many of them elderly.</w:t>
      </w:r>
    </w:p>
    <w:p w14:paraId="021C3762" w14:textId="77777777" w:rsidR="00E24EC1" w:rsidRDefault="00000000">
      <w:pPr>
        <w:numPr>
          <w:ilvl w:val="0"/>
          <w:numId w:val="3"/>
        </w:numPr>
        <w:pBdr>
          <w:top w:val="nil"/>
          <w:left w:val="nil"/>
          <w:bottom w:val="nil"/>
          <w:right w:val="nil"/>
          <w:between w:val="nil"/>
        </w:pBdr>
        <w:jc w:val="both"/>
        <w:rPr>
          <w:rFonts w:ascii="Trebuchet MS" w:eastAsia="Trebuchet MS" w:hAnsi="Trebuchet MS" w:cs="Trebuchet MS"/>
          <w:color w:val="000000"/>
          <w:sz w:val="20"/>
          <w:szCs w:val="20"/>
        </w:rPr>
      </w:pPr>
      <w:proofErr w:type="spellStart"/>
      <w:r>
        <w:rPr>
          <w:rFonts w:ascii="Trebuchet MS" w:eastAsia="Trebuchet MS" w:hAnsi="Trebuchet MS" w:cs="Trebuchet MS"/>
          <w:color w:val="000000"/>
          <w:sz w:val="20"/>
          <w:szCs w:val="20"/>
        </w:rPr>
        <w:t>Gusinje</w:t>
      </w:r>
      <w:proofErr w:type="spellEnd"/>
      <w:r>
        <w:rPr>
          <w:rFonts w:ascii="Trebuchet MS" w:eastAsia="Trebuchet MS" w:hAnsi="Trebuchet MS" w:cs="Trebuchet MS"/>
          <w:color w:val="000000"/>
          <w:sz w:val="20"/>
          <w:szCs w:val="20"/>
        </w:rPr>
        <w:t xml:space="preserve"> and </w:t>
      </w:r>
      <w:proofErr w:type="spellStart"/>
      <w:r>
        <w:rPr>
          <w:rFonts w:ascii="Trebuchet MS" w:eastAsia="Trebuchet MS" w:hAnsi="Trebuchet MS" w:cs="Trebuchet MS"/>
          <w:color w:val="000000"/>
          <w:sz w:val="20"/>
          <w:szCs w:val="20"/>
        </w:rPr>
        <w:t>Petnjica</w:t>
      </w:r>
      <w:proofErr w:type="spellEnd"/>
      <w:r>
        <w:rPr>
          <w:rFonts w:ascii="Trebuchet MS" w:eastAsia="Trebuchet MS" w:hAnsi="Trebuchet MS" w:cs="Trebuchet MS"/>
          <w:color w:val="000000"/>
          <w:sz w:val="20"/>
          <w:szCs w:val="20"/>
        </w:rPr>
        <w:t>, re-established as municipalities in the past decade, face especially high youth emigration.</w:t>
      </w:r>
    </w:p>
    <w:p w14:paraId="0F856101"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These demographic shifts result in aging populations, labor shortages in key sectors (especially agriculture and tourism), and weakened community structures—directly impacting forest stewardship and transmission of traditional knowledge.</w:t>
      </w:r>
    </w:p>
    <w:p w14:paraId="0AE711E6"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5DA66750" w14:textId="77777777" w:rsidR="00E24EC1" w:rsidRDefault="00000000">
      <w:pPr>
        <w:pBdr>
          <w:top w:val="nil"/>
          <w:left w:val="nil"/>
          <w:bottom w:val="nil"/>
          <w:right w:val="nil"/>
          <w:between w:val="nil"/>
        </w:pBdr>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Economic Situation</w:t>
      </w:r>
    </w:p>
    <w:p w14:paraId="53D6623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local economy is largely based on:</w:t>
      </w:r>
    </w:p>
    <w:p w14:paraId="6281F4D9" w14:textId="77777777" w:rsidR="00E24EC1" w:rsidRDefault="00000000">
      <w:pPr>
        <w:numPr>
          <w:ilvl w:val="0"/>
          <w:numId w:val="4"/>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Forestry (firewood collection, logging, and informal timber use)</w:t>
      </w:r>
    </w:p>
    <w:p w14:paraId="2E9B1D1F" w14:textId="77777777" w:rsidR="00E24EC1" w:rsidRDefault="00000000">
      <w:pPr>
        <w:numPr>
          <w:ilvl w:val="0"/>
          <w:numId w:val="4"/>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Agriculture (small-scale livestock, seasonal grazing, and foraging)</w:t>
      </w:r>
    </w:p>
    <w:p w14:paraId="0FB90482" w14:textId="77777777" w:rsidR="00E24EC1" w:rsidRDefault="00000000">
      <w:pPr>
        <w:numPr>
          <w:ilvl w:val="0"/>
          <w:numId w:val="4"/>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Tourism, which remains underdeveloped but growing</w:t>
      </w:r>
    </w:p>
    <w:p w14:paraId="47EEA553"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2949408A"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Formal employment opportunities are limited. Unemployment in some municipalities in this region exceeds 25–30%, with a strong seasonal component. Many families rely on subsistence activities, remittances from diaspora, and informal work arrangements.</w:t>
      </w:r>
    </w:p>
    <w:p w14:paraId="7A3DAA5F"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Forestry remains important for household needs but is rarely part of certified or structured value chains. Illegal logging and unsustainable practices still occur, though community-managed forests in the region (e.g., around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present more sustainable models.</w:t>
      </w:r>
    </w:p>
    <w:p w14:paraId="2ABE0037" w14:textId="77777777" w:rsidR="00E24EC1" w:rsidRDefault="00000000">
      <w:pPr>
        <w:pBdr>
          <w:top w:val="nil"/>
          <w:left w:val="nil"/>
          <w:bottom w:val="nil"/>
          <w:right w:val="nil"/>
          <w:between w:val="nil"/>
        </w:pBdr>
        <w:rPr>
          <w:rFonts w:ascii="Trebuchet MS" w:eastAsia="Trebuchet MS" w:hAnsi="Trebuchet MS" w:cs="Trebuchet MS"/>
          <w:b/>
          <w:color w:val="000000"/>
          <w:sz w:val="20"/>
          <w:szCs w:val="20"/>
        </w:rPr>
      </w:pPr>
      <w:r>
        <w:rPr>
          <w:rFonts w:ascii="Trebuchet MS" w:eastAsia="Trebuchet MS" w:hAnsi="Trebuchet MS" w:cs="Trebuchet MS"/>
          <w:b/>
          <w:noProof/>
          <w:color w:val="000000"/>
          <w:sz w:val="20"/>
          <w:szCs w:val="20"/>
        </w:rPr>
        <w:drawing>
          <wp:inline distT="0" distB="0" distL="0" distR="0" wp14:anchorId="024CBF89" wp14:editId="555C9900">
            <wp:extent cx="5753100" cy="2876550"/>
            <wp:effectExtent l="0" t="0" r="0" b="0"/>
            <wp:docPr id="19910723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53100" cy="2876550"/>
                    </a:xfrm>
                    <a:prstGeom prst="rect">
                      <a:avLst/>
                    </a:prstGeom>
                    <a:ln/>
                  </pic:spPr>
                </pic:pic>
              </a:graphicData>
            </a:graphic>
          </wp:inline>
        </w:drawing>
      </w:r>
    </w:p>
    <w:p w14:paraId="561B01A4" w14:textId="77777777" w:rsidR="00E24EC1" w:rsidRDefault="00000000">
      <w:pPr>
        <w:pBdr>
          <w:top w:val="nil"/>
          <w:left w:val="nil"/>
          <w:bottom w:val="nil"/>
          <w:right w:val="nil"/>
          <w:between w:val="nil"/>
        </w:pBdr>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Tourism and Nature-Based Economy</w:t>
      </w:r>
    </w:p>
    <w:p w14:paraId="651ACB3D"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Tourism potential is significant, particularly around </w:t>
      </w:r>
      <w:proofErr w:type="spellStart"/>
      <w:r>
        <w:rPr>
          <w:rFonts w:ascii="Trebuchet MS" w:eastAsia="Trebuchet MS" w:hAnsi="Trebuchet MS" w:cs="Trebuchet MS"/>
          <w:color w:val="000000"/>
          <w:sz w:val="20"/>
          <w:szCs w:val="20"/>
        </w:rPr>
        <w:t>Biogradska</w:t>
      </w:r>
      <w:proofErr w:type="spellEnd"/>
      <w:r>
        <w:rPr>
          <w:rFonts w:ascii="Trebuchet MS" w:eastAsia="Trebuchet MS" w:hAnsi="Trebuchet MS" w:cs="Trebuchet MS"/>
          <w:color w:val="000000"/>
          <w:sz w:val="20"/>
          <w:szCs w:val="20"/>
        </w:rPr>
        <w:t xml:space="preserve"> Gora and Prokletije National Parks,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Regional Park, and the nearby katun (seasonal herder settlement) areas. The katun-based transhumance system is one of the few forms of seasonal economy that maintains both ecological practices and cultural continuity. However, infrastructure remains underdeveloped, especially roads, waste systems, and accommodation capacity.</w:t>
      </w:r>
    </w:p>
    <w:p w14:paraId="4FF3DB1F"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Rural households offering tourism services often operate informally or on a small scale. There's growing demand for authentic experiences (homecooked meals, guided hikes, workshops on traditional crafts), but most providers lack training, visibility, or investment support.</w:t>
      </w:r>
    </w:p>
    <w:p w14:paraId="592A06AE"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3C4F39EC" w14:textId="77777777" w:rsidR="00E24EC1" w:rsidRDefault="00000000">
      <w:pPr>
        <w:pBdr>
          <w:top w:val="nil"/>
          <w:left w:val="nil"/>
          <w:bottom w:val="nil"/>
          <w:right w:val="nil"/>
          <w:between w:val="nil"/>
        </w:pBdr>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Gender and Social Inclusion</w:t>
      </w:r>
    </w:p>
    <w:p w14:paraId="466DDE1D"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Women, especially in remote katun settlements, hold critical roles in managing forest-based knowledge—ranging from wood-based interior decoration and food preservation to medicinal plant use and oral traditions. Despite this, their economic contributions are often informal and invisible in policy or economic planning. Initiatives such as rural women’s associations and mentoring programs have emerged but require stronger institutional and financial backing.</w:t>
      </w:r>
    </w:p>
    <w:p w14:paraId="7FEECE08"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Youth disengagement from traditional forest-related practices is accelerating due to poor educational and employment opportunities, yet some pilot initiatives (e.g., ranger programs or festivals involving young volunteers) have shown promise.</w:t>
      </w:r>
    </w:p>
    <w:p w14:paraId="0762FE66"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tbl>
      <w:tblPr>
        <w:tblStyle w:val="ac"/>
        <w:tblW w:w="906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038"/>
        <w:gridCol w:w="6027"/>
      </w:tblGrid>
      <w:tr w:rsidR="00E24EC1" w14:paraId="54AD7C4D" w14:textId="77777777" w:rsidTr="00E24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7BC63B56" w14:textId="77777777" w:rsidR="00E24EC1"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Challenge</w:t>
            </w:r>
          </w:p>
        </w:tc>
        <w:tc>
          <w:tcPr>
            <w:tcW w:w="6027" w:type="dxa"/>
          </w:tcPr>
          <w:p w14:paraId="7EDF397D" w14:textId="77777777" w:rsidR="00E24EC1" w:rsidRDefault="00000000">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sz w:val="20"/>
                <w:szCs w:val="20"/>
              </w:rPr>
              <w:t>Description</w:t>
            </w:r>
          </w:p>
        </w:tc>
      </w:tr>
      <w:tr w:rsidR="00E24EC1" w14:paraId="1BB96031"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1E86749C"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Depopulation</w:t>
            </w:r>
          </w:p>
        </w:tc>
        <w:tc>
          <w:tcPr>
            <w:tcW w:w="6027" w:type="dxa"/>
          </w:tcPr>
          <w:p w14:paraId="273447F6"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sz w:val="20"/>
                <w:szCs w:val="20"/>
              </w:rPr>
              <w:t>Outmigration and aging population lead to labor and knowledge loss</w:t>
            </w:r>
          </w:p>
        </w:tc>
      </w:tr>
      <w:tr w:rsidR="00E24EC1" w14:paraId="42DEF294" w14:textId="77777777" w:rsidTr="00E24EC1">
        <w:tc>
          <w:tcPr>
            <w:cnfStyle w:val="001000000000" w:firstRow="0" w:lastRow="0" w:firstColumn="1" w:lastColumn="0" w:oddVBand="0" w:evenVBand="0" w:oddHBand="0" w:evenHBand="0" w:firstRowFirstColumn="0" w:firstRowLastColumn="0" w:lastRowFirstColumn="0" w:lastRowLastColumn="0"/>
            <w:tcW w:w="3038" w:type="dxa"/>
          </w:tcPr>
          <w:p w14:paraId="31ABF7A4"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Economic vulnerability</w:t>
            </w:r>
          </w:p>
        </w:tc>
        <w:tc>
          <w:tcPr>
            <w:tcW w:w="6027" w:type="dxa"/>
          </w:tcPr>
          <w:p w14:paraId="2D481F21"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sz w:val="20"/>
                <w:szCs w:val="20"/>
              </w:rPr>
              <w:t>Limited income diversification, high unemployment, informal forest use</w:t>
            </w:r>
          </w:p>
        </w:tc>
      </w:tr>
      <w:tr w:rsidR="00E24EC1" w14:paraId="3578094C"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7E0CFD71"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Gender imbalance in participation</w:t>
            </w:r>
          </w:p>
        </w:tc>
        <w:tc>
          <w:tcPr>
            <w:tcW w:w="6027" w:type="dxa"/>
          </w:tcPr>
          <w:p w14:paraId="5363C48C"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sz w:val="20"/>
                <w:szCs w:val="20"/>
              </w:rPr>
              <w:t>Women's cultural roles undervalued in formal economy</w:t>
            </w:r>
          </w:p>
        </w:tc>
      </w:tr>
      <w:tr w:rsidR="00E24EC1" w14:paraId="523CC0B8" w14:textId="77777777" w:rsidTr="00E24EC1">
        <w:tc>
          <w:tcPr>
            <w:cnfStyle w:val="001000000000" w:firstRow="0" w:lastRow="0" w:firstColumn="1" w:lastColumn="0" w:oddVBand="0" w:evenVBand="0" w:oddHBand="0" w:evenHBand="0" w:firstRowFirstColumn="0" w:firstRowLastColumn="0" w:lastRowFirstColumn="0" w:lastRowLastColumn="0"/>
            <w:tcW w:w="3038" w:type="dxa"/>
          </w:tcPr>
          <w:p w14:paraId="59098BAA"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Infrastructure gaps</w:t>
            </w:r>
          </w:p>
        </w:tc>
        <w:tc>
          <w:tcPr>
            <w:tcW w:w="6027" w:type="dxa"/>
          </w:tcPr>
          <w:p w14:paraId="5E3FD78A"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sz w:val="20"/>
                <w:szCs w:val="20"/>
              </w:rPr>
              <w:t>Poor roads, low digital connectivity, limited tourist infrastructure</w:t>
            </w:r>
          </w:p>
        </w:tc>
      </w:tr>
      <w:tr w:rsidR="00E24EC1" w14:paraId="6D42531C" w14:textId="77777777" w:rsidTr="00E2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7FBA28C8"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Underutilized cultural assets</w:t>
            </w:r>
          </w:p>
        </w:tc>
        <w:tc>
          <w:tcPr>
            <w:tcW w:w="6027" w:type="dxa"/>
          </w:tcPr>
          <w:p w14:paraId="23BB8DF9"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20"/>
                <w:szCs w:val="20"/>
              </w:rPr>
            </w:pPr>
            <w:r>
              <w:rPr>
                <w:rFonts w:ascii="Trebuchet MS" w:eastAsia="Trebuchet MS" w:hAnsi="Trebuchet MS" w:cs="Trebuchet MS"/>
                <w:sz w:val="20"/>
                <w:szCs w:val="20"/>
              </w:rPr>
              <w:t>Katuns, woodcraft, and transhumance heritage lack visibility and investment</w:t>
            </w:r>
          </w:p>
        </w:tc>
      </w:tr>
    </w:tbl>
    <w:p w14:paraId="247B4838"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288E475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552A006" w14:textId="77777777" w:rsidR="00E24EC1" w:rsidRDefault="00000000">
      <w:pPr>
        <w:pStyle w:val="Naslov2"/>
        <w:numPr>
          <w:ilvl w:val="1"/>
          <w:numId w:val="6"/>
        </w:numPr>
      </w:pPr>
      <w:bookmarkStart w:id="6" w:name="_heading=h.omofrh58lp3" w:colFirst="0" w:colLast="0"/>
      <w:bookmarkEnd w:id="6"/>
      <w:r>
        <w:lastRenderedPageBreak/>
        <w:t>Transhumance and Its Connection with Wood, Forests, and Biodiversity</w:t>
      </w:r>
    </w:p>
    <w:p w14:paraId="7DD20FD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Transhumance — the seasonal movement of livestock between winter villages and highland pastures — is one of the defining land-use systems in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and Prokletije region, as in all of Montenegro. It has shaped not only the mountain landscape but also the identity, knowledge, and economy of local communities for generations. The tradition centers around katuns — temporary summer settlements typically established in forested highland zones — where families reside from late spring to early autumn.</w:t>
      </w:r>
    </w:p>
    <w:p w14:paraId="7EB5DF0D" w14:textId="77777777" w:rsidR="00E24EC1" w:rsidRDefault="00000000">
      <w:pPr>
        <w:pBdr>
          <w:top w:val="nil"/>
          <w:left w:val="nil"/>
          <w:bottom w:val="nil"/>
          <w:right w:val="nil"/>
          <w:between w:val="nil"/>
        </w:pBdr>
        <w:jc w:val="center"/>
        <w:rPr>
          <w:rFonts w:ascii="Trebuchet MS" w:eastAsia="Trebuchet MS" w:hAnsi="Trebuchet MS" w:cs="Trebuchet MS"/>
          <w:i/>
          <w:color w:val="000000"/>
          <w:sz w:val="20"/>
          <w:szCs w:val="20"/>
        </w:rPr>
      </w:pPr>
      <w:r>
        <w:rPr>
          <w:noProof/>
          <w:sz w:val="20"/>
          <w:szCs w:val="20"/>
        </w:rPr>
        <w:drawing>
          <wp:inline distT="0" distB="0" distL="0" distR="0" wp14:anchorId="5C66719D" wp14:editId="612171FE">
            <wp:extent cx="5336145" cy="2940613"/>
            <wp:effectExtent l="0" t="0" r="0" b="0"/>
            <wp:docPr id="19910723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336145" cy="2940613"/>
                    </a:xfrm>
                    <a:prstGeom prst="rect">
                      <a:avLst/>
                    </a:prstGeom>
                    <a:ln/>
                  </pic:spPr>
                </pic:pic>
              </a:graphicData>
            </a:graphic>
          </wp:inline>
        </w:drawing>
      </w:r>
      <w:r>
        <w:rPr>
          <w:rFonts w:ascii="Trebuchet MS" w:eastAsia="Trebuchet MS" w:hAnsi="Trebuchet MS" w:cs="Trebuchet MS"/>
          <w:i/>
          <w:color w:val="000000"/>
          <w:sz w:val="20"/>
          <w:szCs w:val="20"/>
        </w:rPr>
        <w:t>Shepherd in katun next to the forest</w:t>
      </w:r>
    </w:p>
    <w:p w14:paraId="223AE7FE"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Wood plays a central role in every aspect of this system. Katun dwellings are traditionally constructed from local hardwoods such as beech and fir, adapted to the terrain and harsh weather conditions of the high mountains. The architecture is vernacular and functional, often consisting of simple log cabins, animal shelters, and storage huts, all built using hand tools and intergenerational techniques. These structures are designed for durability, insulation, and easy repair — using ecological knowledge refined over centuries.</w:t>
      </w:r>
    </w:p>
    <w:p w14:paraId="48E2AEE6"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Forests are also the primary source of fuel, tools, and household items. Wooden fences and enclosures define livestock areas, while drying racks for herbs and dairy are common features of katun yards. Traditional tools include the </w:t>
      </w:r>
      <w:proofErr w:type="spellStart"/>
      <w:r>
        <w:rPr>
          <w:rFonts w:ascii="Trebuchet MS" w:eastAsia="Trebuchet MS" w:hAnsi="Trebuchet MS" w:cs="Trebuchet MS"/>
          <w:color w:val="000000"/>
          <w:sz w:val="20"/>
          <w:szCs w:val="20"/>
        </w:rPr>
        <w:t>karlica</w:t>
      </w:r>
      <w:proofErr w:type="spellEnd"/>
      <w:r>
        <w:rPr>
          <w:rFonts w:ascii="Trebuchet MS" w:eastAsia="Trebuchet MS" w:hAnsi="Trebuchet MS" w:cs="Trebuchet MS"/>
          <w:color w:val="000000"/>
          <w:sz w:val="20"/>
          <w:szCs w:val="20"/>
        </w:rPr>
        <w:t xml:space="preserve">, a shallow wooden bowl used to collect milk or allow cream to rise, and the </w:t>
      </w:r>
      <w:proofErr w:type="spellStart"/>
      <w:r>
        <w:rPr>
          <w:rFonts w:ascii="Trebuchet MS" w:eastAsia="Trebuchet MS" w:hAnsi="Trebuchet MS" w:cs="Trebuchet MS"/>
          <w:color w:val="000000"/>
          <w:sz w:val="20"/>
          <w:szCs w:val="20"/>
        </w:rPr>
        <w:t>kaca</w:t>
      </w:r>
      <w:proofErr w:type="spellEnd"/>
      <w:r>
        <w:rPr>
          <w:rFonts w:ascii="Trebuchet MS" w:eastAsia="Trebuchet MS" w:hAnsi="Trebuchet MS" w:cs="Trebuchet MS"/>
          <w:color w:val="000000"/>
          <w:sz w:val="20"/>
          <w:szCs w:val="20"/>
        </w:rPr>
        <w:t>, a wooden tub used for cheese aging and storage. These items not only serve practical functions but also symbolize self-sufficiency and craftsmanship rooted in forest resources.</w:t>
      </w:r>
    </w:p>
    <w:p w14:paraId="3B5C8D2A" w14:textId="77777777" w:rsidR="00E24EC1" w:rsidRDefault="00000000">
      <w:pPr>
        <w:pBdr>
          <w:top w:val="nil"/>
          <w:left w:val="nil"/>
          <w:bottom w:val="nil"/>
          <w:right w:val="nil"/>
          <w:between w:val="nil"/>
        </w:pBdr>
        <w:jc w:val="cente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inline distT="0" distB="0" distL="0" distR="0" wp14:anchorId="5B1F14EF" wp14:editId="5272F1BC">
            <wp:extent cx="3552108" cy="2352389"/>
            <wp:effectExtent l="0" t="0" r="0" b="0"/>
            <wp:docPr id="19910723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3552108" cy="2352389"/>
                    </a:xfrm>
                    <a:prstGeom prst="rect">
                      <a:avLst/>
                    </a:prstGeom>
                    <a:ln/>
                  </pic:spPr>
                </pic:pic>
              </a:graphicData>
            </a:graphic>
          </wp:inline>
        </w:drawing>
      </w:r>
    </w:p>
    <w:p w14:paraId="68A05567" w14:textId="77777777" w:rsidR="00E24EC1" w:rsidRDefault="00000000">
      <w:pPr>
        <w:pBdr>
          <w:top w:val="nil"/>
          <w:left w:val="nil"/>
          <w:bottom w:val="nil"/>
          <w:right w:val="nil"/>
          <w:between w:val="nil"/>
        </w:pBdr>
        <w:jc w:val="center"/>
        <w:rPr>
          <w:rFonts w:ascii="Trebuchet MS" w:eastAsia="Trebuchet MS" w:hAnsi="Trebuchet MS" w:cs="Trebuchet MS"/>
          <w:color w:val="000000"/>
          <w:sz w:val="20"/>
          <w:szCs w:val="20"/>
        </w:rPr>
      </w:pPr>
      <w:r>
        <w:rPr>
          <w:noProof/>
          <w:sz w:val="20"/>
          <w:szCs w:val="20"/>
        </w:rPr>
        <w:lastRenderedPageBreak/>
        <w:drawing>
          <wp:inline distT="0" distB="0" distL="0" distR="0" wp14:anchorId="1EB09C21" wp14:editId="786267DD">
            <wp:extent cx="3492117" cy="2249193"/>
            <wp:effectExtent l="0" t="0" r="0" b="0"/>
            <wp:docPr id="19910723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492117" cy="2249193"/>
                    </a:xfrm>
                    <a:prstGeom prst="rect">
                      <a:avLst/>
                    </a:prstGeom>
                    <a:ln/>
                  </pic:spPr>
                </pic:pic>
              </a:graphicData>
            </a:graphic>
          </wp:inline>
        </w:drawing>
      </w:r>
    </w:p>
    <w:p w14:paraId="69F945C1" w14:textId="77777777" w:rsidR="00E24EC1" w:rsidRDefault="00000000">
      <w:pPr>
        <w:pBdr>
          <w:top w:val="nil"/>
          <w:left w:val="nil"/>
          <w:bottom w:val="nil"/>
          <w:right w:val="nil"/>
          <w:between w:val="nil"/>
        </w:pBdr>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 xml:space="preserve">Kaca, </w:t>
      </w:r>
      <w:proofErr w:type="spellStart"/>
      <w:r>
        <w:rPr>
          <w:rFonts w:ascii="Trebuchet MS" w:eastAsia="Trebuchet MS" w:hAnsi="Trebuchet MS" w:cs="Trebuchet MS"/>
          <w:i/>
          <w:color w:val="000000"/>
          <w:sz w:val="20"/>
          <w:szCs w:val="20"/>
        </w:rPr>
        <w:t>karlica</w:t>
      </w:r>
      <w:proofErr w:type="spellEnd"/>
      <w:r>
        <w:rPr>
          <w:rFonts w:ascii="Trebuchet MS" w:eastAsia="Trebuchet MS" w:hAnsi="Trebuchet MS" w:cs="Trebuchet MS"/>
          <w:i/>
          <w:color w:val="000000"/>
          <w:sz w:val="20"/>
          <w:szCs w:val="20"/>
        </w:rPr>
        <w:t xml:space="preserve"> and tools for traditional katun dishes</w:t>
      </w:r>
    </w:p>
    <w:p w14:paraId="1AF5E830"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Women play a key role in preserving this knowledge. In addition to managing dairy production, they engage in the collection of non-timber forest products (</w:t>
      </w:r>
      <w:proofErr w:type="gramStart"/>
      <w:r>
        <w:rPr>
          <w:rFonts w:ascii="Trebuchet MS" w:eastAsia="Trebuchet MS" w:hAnsi="Trebuchet MS" w:cs="Trebuchet MS"/>
          <w:color w:val="000000"/>
          <w:sz w:val="20"/>
          <w:szCs w:val="20"/>
        </w:rPr>
        <w:t>NTFPs) —</w:t>
      </w:r>
      <w:proofErr w:type="gramEnd"/>
      <w:r>
        <w:rPr>
          <w:rFonts w:ascii="Trebuchet MS" w:eastAsia="Trebuchet MS" w:hAnsi="Trebuchet MS" w:cs="Trebuchet MS"/>
          <w:color w:val="000000"/>
          <w:sz w:val="20"/>
          <w:szCs w:val="20"/>
        </w:rPr>
        <w:t xml:space="preserve"> such as wild herbs, mushrooms, blackberries, blueberries, and rose hips — and prepare forest-based remedies and foods. This includes juices made from young </w:t>
      </w:r>
      <w:proofErr w:type="gramStart"/>
      <w:r>
        <w:rPr>
          <w:rFonts w:ascii="Trebuchet MS" w:eastAsia="Trebuchet MS" w:hAnsi="Trebuchet MS" w:cs="Trebuchet MS"/>
          <w:color w:val="000000"/>
          <w:sz w:val="20"/>
          <w:szCs w:val="20"/>
        </w:rPr>
        <w:t>pine cones</w:t>
      </w:r>
      <w:proofErr w:type="gramEnd"/>
      <w:r>
        <w:rPr>
          <w:rFonts w:ascii="Trebuchet MS" w:eastAsia="Trebuchet MS" w:hAnsi="Trebuchet MS" w:cs="Trebuchet MS"/>
          <w:color w:val="000000"/>
          <w:sz w:val="20"/>
          <w:szCs w:val="20"/>
        </w:rPr>
        <w:t>, syrups from forest berries, and teas from native herbs. Women also select specific wood types for domestic use (e.g., juniper for insect-repelling properties</w:t>
      </w:r>
      <w:proofErr w:type="gramStart"/>
      <w:r>
        <w:rPr>
          <w:rFonts w:ascii="Trebuchet MS" w:eastAsia="Trebuchet MS" w:hAnsi="Trebuchet MS" w:cs="Trebuchet MS"/>
          <w:color w:val="000000"/>
          <w:sz w:val="20"/>
          <w:szCs w:val="20"/>
        </w:rPr>
        <w:t>), and</w:t>
      </w:r>
      <w:proofErr w:type="gramEnd"/>
      <w:r>
        <w:rPr>
          <w:rFonts w:ascii="Trebuchet MS" w:eastAsia="Trebuchet MS" w:hAnsi="Trebuchet MS" w:cs="Trebuchet MS"/>
          <w:color w:val="000000"/>
          <w:sz w:val="20"/>
          <w:szCs w:val="20"/>
        </w:rPr>
        <w:t xml:space="preserve"> pass on cultural knowledge through seasonal practices.</w:t>
      </w:r>
    </w:p>
    <w:p w14:paraId="66D94291"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Transhumance also plays a crucial role in the preservation of biodiversity, particularly in forest-edge and high-mountain ecosystems. Seasonal grazing helps maintain a mosaic of open pastures, forest glades, and shrublands that support a wide range of species, including many that are endangered or rare. The movement of livestock facilitates natural seed dispersal, helps prevent forest overgrowth, and reduces the risk of forest fires by controlling underbrush. As such, the katun system represents not only a cultural tradition but also a nature-based practice that supports ecological balance and forest health.</w:t>
      </w:r>
    </w:p>
    <w:p w14:paraId="37DB994E"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7E951D00"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Beyond material culture, transhumance is embedded in oral traditions, seasonal rituals, and songs, many of which are tied to the forest environment. Tools such as the gusle — a single-string instrument traditionally carved from maple or ash — are central to storytelling and epic poetry performed in these landscapes.</w:t>
      </w:r>
    </w:p>
    <w:p w14:paraId="398676C5"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Although transhumance is declining due to demographic change, regulatory constraints, and shifts in lifestyle, its cultural and ecological legacy remains strong. Revitalization is possible through community-based tourism, intergenerational learning, and eco-education, particularly when focused on the forest-based elements of the katun way of life.</w:t>
      </w:r>
    </w:p>
    <w:p w14:paraId="76874173"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As part of the Danube Wood(s)Route, Montenegro </w:t>
      </w:r>
      <w:proofErr w:type="gramStart"/>
      <w:r>
        <w:rPr>
          <w:rFonts w:ascii="Trebuchet MS" w:eastAsia="Trebuchet MS" w:hAnsi="Trebuchet MS" w:cs="Trebuchet MS"/>
          <w:color w:val="000000"/>
          <w:sz w:val="20"/>
          <w:szCs w:val="20"/>
        </w:rPr>
        <w:t>has the opportunity to</w:t>
      </w:r>
      <w:proofErr w:type="gramEnd"/>
      <w:r>
        <w:rPr>
          <w:rFonts w:ascii="Trebuchet MS" w:eastAsia="Trebuchet MS" w:hAnsi="Trebuchet MS" w:cs="Trebuchet MS"/>
          <w:color w:val="000000"/>
          <w:sz w:val="20"/>
          <w:szCs w:val="20"/>
        </w:rPr>
        <w:t xml:space="preserve"> present this heritage not as a relic of the past, but as a living model of sustainable land use, forest stewardship, and biodiversity conservation. By engaging local families — especially women — in preserving and interpreting these traditions, the region can contribute a distinctive and authentic voice to the shared wood heritage of the Danube area.</w:t>
      </w:r>
    </w:p>
    <w:p w14:paraId="3DE6C978"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9CBE1A0" w14:textId="77777777" w:rsidR="00E24EC1" w:rsidRDefault="00000000">
      <w:pPr>
        <w:pStyle w:val="Naslov2"/>
        <w:numPr>
          <w:ilvl w:val="1"/>
          <w:numId w:val="6"/>
        </w:numPr>
      </w:pPr>
      <w:bookmarkStart w:id="7" w:name="_heading=h.460lb7zi64ao" w:colFirst="0" w:colLast="0"/>
      <w:bookmarkEnd w:id="7"/>
      <w:r>
        <w:t>Summary of the regional assessment</w:t>
      </w:r>
    </w:p>
    <w:p w14:paraId="7D9B9994" w14:textId="77777777" w:rsidR="00E24EC1" w:rsidRDefault="00E24EC1">
      <w:pPr>
        <w:pBdr>
          <w:top w:val="nil"/>
          <w:left w:val="nil"/>
          <w:bottom w:val="nil"/>
          <w:right w:val="nil"/>
          <w:between w:val="nil"/>
        </w:pBdr>
        <w:rPr>
          <w:rFonts w:ascii="Trebuchet MS" w:eastAsia="Trebuchet MS" w:hAnsi="Trebuchet MS" w:cs="Trebuchet MS"/>
          <w:color w:val="FF0000"/>
        </w:rPr>
      </w:pPr>
    </w:p>
    <w:p w14:paraId="555FB687"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and Prokletije region of Montenegro stands out as one of the most forest-rich and culturally distinctive territories within the Danube region. Over 61.5% of the country’s territory is covered by forest—totaling approximately 827,000 hectares, of which 99% are naturally regenerating. This level of forest integrity is rare in Europe and positions Montenegro as a vital contributor to biodiversity protection, climate regulation, and the preservation of ecological processes.</w:t>
      </w:r>
    </w:p>
    <w:p w14:paraId="53EA4B4F"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sdt>
        <w:sdtPr>
          <w:tag w:val="goog_rdk_0"/>
          <w:id w:val="7925426"/>
        </w:sdtPr>
        <w:sdtContent>
          <w:r>
            <w:rPr>
              <w:rFonts w:ascii="Arial Unicode MS" w:eastAsia="Arial Unicode MS" w:hAnsi="Arial Unicode MS" w:cs="Arial Unicode MS"/>
              <w:sz w:val="20"/>
              <w:szCs w:val="20"/>
            </w:rPr>
            <w:t xml:space="preserve">These forests are not only ecological strongholds; they are also carbon sinks of regional importance, storing nearly 47 million </w:t>
          </w:r>
          <w:proofErr w:type="spellStart"/>
          <w:r>
            <w:rPr>
              <w:rFonts w:ascii="Arial Unicode MS" w:eastAsia="Arial Unicode MS" w:hAnsi="Arial Unicode MS" w:cs="Arial Unicode MS"/>
              <w:sz w:val="20"/>
              <w:szCs w:val="20"/>
            </w:rPr>
            <w:t>tonnes</w:t>
          </w:r>
          <w:proofErr w:type="spellEnd"/>
          <w:r>
            <w:rPr>
              <w:rFonts w:ascii="Arial Unicode MS" w:eastAsia="Arial Unicode MS" w:hAnsi="Arial Unicode MS" w:cs="Arial Unicode MS"/>
              <w:sz w:val="20"/>
              <w:szCs w:val="20"/>
            </w:rPr>
            <w:t xml:space="preserve"> of CO₂, with around 90% of this stored in above-ground biomass. Forests provide essential ecosystem services such as soil stabilization, water retention, air purification, provision of medicinal plants and wild food, and renewable energy through biomass. They also serve as </w:t>
          </w:r>
          <w:proofErr w:type="gramStart"/>
          <w:r>
            <w:rPr>
              <w:rFonts w:ascii="Arial Unicode MS" w:eastAsia="Arial Unicode MS" w:hAnsi="Arial Unicode MS" w:cs="Arial Unicode MS"/>
              <w:sz w:val="20"/>
              <w:szCs w:val="20"/>
            </w:rPr>
            <w:t>habitat</w:t>
          </w:r>
          <w:proofErr w:type="gramEnd"/>
          <w:r>
            <w:rPr>
              <w:rFonts w:ascii="Arial Unicode MS" w:eastAsia="Arial Unicode MS" w:hAnsi="Arial Unicode MS" w:cs="Arial Unicode MS"/>
              <w:sz w:val="20"/>
              <w:szCs w:val="20"/>
            </w:rPr>
            <w:t xml:space="preserve"> to species of high conservation value such as the brown bear, Eurasian lynx, Balkan chamois, </w:t>
          </w:r>
          <w:r>
            <w:rPr>
              <w:rFonts w:ascii="Arial Unicode MS" w:eastAsia="Arial Unicode MS" w:hAnsi="Arial Unicode MS" w:cs="Arial Unicode MS"/>
              <w:sz w:val="20"/>
              <w:szCs w:val="20"/>
            </w:rPr>
            <w:lastRenderedPageBreak/>
            <w:t>capercaillie, and golden eagle, making this region ecologically significant in terms of both habitat richness and conservation potential.</w:t>
          </w:r>
        </w:sdtContent>
      </w:sdt>
    </w:p>
    <w:p w14:paraId="5E57EF9D"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At the same time, the cultural heritage of the region is deeply rooted in its forest ecosystems. This is most vividly expressed in the katun system — a transhumant model of seasonal settlement where families relocate to highland pastures during late spring and summer months. Katuns are typically located in high mountain and forest-edge zones and rely heavily on local wood for architecture, enclosures, food preparation tools, and heating. Log construction, symbolic carvings, and multipurpose wooden objects such as drying racks and storage huts are prominent features of this living heritage.</w:t>
      </w:r>
    </w:p>
    <w:p w14:paraId="6E9032AC"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Forests are more than a resource — they are a cultural landscape where practical knowledge, ecological adaptation, and symbolic meaning are intertwined. This knowledge has been passed down orally, especially through women, who play a central role in dairy processing, foraging of forest products, natural medicine, and storytelling. They also maintain wooden culinary tools such as the </w:t>
      </w:r>
      <w:proofErr w:type="spellStart"/>
      <w:r>
        <w:rPr>
          <w:rFonts w:ascii="Trebuchet MS" w:eastAsia="Trebuchet MS" w:hAnsi="Trebuchet MS" w:cs="Trebuchet MS"/>
          <w:sz w:val="20"/>
          <w:szCs w:val="20"/>
        </w:rPr>
        <w:t>kaca</w:t>
      </w:r>
      <w:proofErr w:type="spellEnd"/>
      <w:r>
        <w:rPr>
          <w:rFonts w:ascii="Trebuchet MS" w:eastAsia="Trebuchet MS" w:hAnsi="Trebuchet MS" w:cs="Trebuchet MS"/>
          <w:sz w:val="20"/>
          <w:szCs w:val="20"/>
        </w:rPr>
        <w:t xml:space="preserve"> (a carved wooden container for cheese) and prepare dishes like </w:t>
      </w:r>
      <w:proofErr w:type="spellStart"/>
      <w:r>
        <w:rPr>
          <w:rFonts w:ascii="Trebuchet MS" w:eastAsia="Trebuchet MS" w:hAnsi="Trebuchet MS" w:cs="Trebuchet MS"/>
          <w:sz w:val="20"/>
          <w:szCs w:val="20"/>
        </w:rPr>
        <w:t>kajmak</w:t>
      </w:r>
      <w:proofErr w:type="spellEnd"/>
      <w:r>
        <w:rPr>
          <w:rFonts w:ascii="Trebuchet MS" w:eastAsia="Trebuchet MS" w:hAnsi="Trebuchet MS" w:cs="Trebuchet MS"/>
          <w:sz w:val="20"/>
          <w:szCs w:val="20"/>
        </w:rPr>
        <w:t xml:space="preserve"> in special vessels called </w:t>
      </w:r>
      <w:proofErr w:type="spellStart"/>
      <w:r>
        <w:rPr>
          <w:rFonts w:ascii="Trebuchet MS" w:eastAsia="Trebuchet MS" w:hAnsi="Trebuchet MS" w:cs="Trebuchet MS"/>
          <w:sz w:val="20"/>
          <w:szCs w:val="20"/>
        </w:rPr>
        <w:t>karlica</w:t>
      </w:r>
      <w:proofErr w:type="spellEnd"/>
      <w:r>
        <w:rPr>
          <w:rFonts w:ascii="Trebuchet MS" w:eastAsia="Trebuchet MS" w:hAnsi="Trebuchet MS" w:cs="Trebuchet MS"/>
          <w:sz w:val="20"/>
          <w:szCs w:val="20"/>
        </w:rPr>
        <w:t>, both made from local wood species. These practices reflect a profound understanding of forest materials and seasonal cycles.</w:t>
      </w:r>
    </w:p>
    <w:p w14:paraId="2CF4EC1E"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Moreover, transhumance has significant biodiversity benefits, particularly in forest-pasture ecotones. Grazing activities reduce shrub encroachment, preserve open habitats needed by rare plant and insect species, and promote ecological diversity by maintaining mosaic landscapes. Livestock also </w:t>
      </w:r>
      <w:proofErr w:type="gramStart"/>
      <w:r>
        <w:rPr>
          <w:rFonts w:ascii="Trebuchet MS" w:eastAsia="Trebuchet MS" w:hAnsi="Trebuchet MS" w:cs="Trebuchet MS"/>
          <w:sz w:val="20"/>
          <w:szCs w:val="20"/>
        </w:rPr>
        <w:t>contribute</w:t>
      </w:r>
      <w:proofErr w:type="gramEnd"/>
      <w:r>
        <w:rPr>
          <w:rFonts w:ascii="Trebuchet MS" w:eastAsia="Trebuchet MS" w:hAnsi="Trebuchet MS" w:cs="Trebuchet MS"/>
          <w:sz w:val="20"/>
          <w:szCs w:val="20"/>
        </w:rPr>
        <w:t xml:space="preserve"> to seed dispersal, soil fertilization, and the maintenance of genetic diversity in native pasture species. These contributions make transhumance not only a cultural but also an ecological asset for forest ecosystems.</w:t>
      </w:r>
    </w:p>
    <w:p w14:paraId="4B1309A6"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Despite these strengths, the region faces mounting pressures. The depopulation of rural and mountain areas, especially among youth, is leading to the erosion of intergenerational knowledge and a decline in traditional forest-based practices. Furthermore, the cultural dimension of forests is underrepresented in tourism and education, while increasing numbers of visitors in sensitive highland zones strain ecosystems and offer limited benefits to </w:t>
      </w:r>
      <w:proofErr w:type="gramStart"/>
      <w:r>
        <w:rPr>
          <w:rFonts w:ascii="Trebuchet MS" w:eastAsia="Trebuchet MS" w:hAnsi="Trebuchet MS" w:cs="Trebuchet MS"/>
          <w:sz w:val="20"/>
          <w:szCs w:val="20"/>
        </w:rPr>
        <w:t>local residents</w:t>
      </w:r>
      <w:proofErr w:type="gramEnd"/>
      <w:r>
        <w:rPr>
          <w:rFonts w:ascii="Trebuchet MS" w:eastAsia="Trebuchet MS" w:hAnsi="Trebuchet MS" w:cs="Trebuchet MS"/>
          <w:sz w:val="20"/>
          <w:szCs w:val="20"/>
        </w:rPr>
        <w:t>. These pressures threaten the sustainability of both the ecological and cultural systems that define the region.</w:t>
      </w:r>
    </w:p>
    <w:p w14:paraId="3465FB79"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Nonetheless, the region is at a turning point. There is a growing public interest in authentic, nature-connected experiences, traditional foods, crafts, and ecological knowledge. This offers new momentum for sustainable development rooted in forest heritage. Rural tourism, if designed with care, provides opportunities to revive traditional skills, empower women, and attract younger generations back to rural life through diversified livelihoods.</w:t>
      </w:r>
    </w:p>
    <w:p w14:paraId="476D2673"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Danube Wood(s)Route presents a valuable platform to harness this momentum. By connecting Montenegro’s local traditions and forest assets with broader regional initiatives, the project can catalyze community-based, culturally sensitive, and environmentally sustainable practices. With its protected areas, resilient traditional systems, and strong sense of identity, 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–Prokletije region is well placed to become an area for integrated forest heritage valorization across the Danube region.</w:t>
      </w:r>
    </w:p>
    <w:p w14:paraId="4168ED48"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163C562" w14:textId="77777777" w:rsidR="00E24EC1" w:rsidRDefault="00000000">
      <w:pPr>
        <w:pStyle w:val="Naslov2"/>
        <w:numPr>
          <w:ilvl w:val="1"/>
          <w:numId w:val="6"/>
        </w:numPr>
      </w:pPr>
      <w:bookmarkStart w:id="8" w:name="_heading=h.74botijv7vaq" w:colFirst="0" w:colLast="0"/>
      <w:bookmarkEnd w:id="8"/>
      <w:r>
        <w:t>Challenges and opportunities</w:t>
      </w:r>
    </w:p>
    <w:p w14:paraId="1B9845D4" w14:textId="77777777" w:rsidR="00E24EC1" w:rsidRDefault="00E24EC1">
      <w:pPr>
        <w:pBdr>
          <w:top w:val="nil"/>
          <w:left w:val="nil"/>
          <w:bottom w:val="nil"/>
          <w:right w:val="nil"/>
          <w:between w:val="nil"/>
        </w:pBdr>
        <w:rPr>
          <w:rFonts w:ascii="Trebuchet MS" w:eastAsia="Trebuchet MS" w:hAnsi="Trebuchet MS" w:cs="Trebuchet MS"/>
          <w:color w:val="FF0000"/>
        </w:rPr>
      </w:pPr>
    </w:p>
    <w:p w14:paraId="3BBB87FE"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Montenegro’s forest-rich highlands hold immense potential for cultural valorization, biodiversity conservation, and sustainable development. However, several interlinked challenges currently undermine these opportunities and threaten the continuity of forest-based heritage systems such as transhumance. These challenges are outlined below:</w:t>
      </w:r>
    </w:p>
    <w:p w14:paraId="245CFB09"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1E1740FE"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1. Depopulation of highland and rural areas</w:t>
      </w:r>
    </w:p>
    <w:p w14:paraId="7D251701"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Rural municipalities in 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region—such as </w:t>
      </w:r>
      <w:proofErr w:type="spellStart"/>
      <w:r>
        <w:rPr>
          <w:rFonts w:ascii="Trebuchet MS" w:eastAsia="Trebuchet MS" w:hAnsi="Trebuchet MS" w:cs="Trebuchet MS"/>
          <w:sz w:val="20"/>
          <w:szCs w:val="20"/>
        </w:rPr>
        <w:t>Andrijevica</w:t>
      </w:r>
      <w:proofErr w:type="spellEnd"/>
      <w:r>
        <w:rPr>
          <w:rFonts w:ascii="Trebuchet MS" w:eastAsia="Trebuchet MS" w:hAnsi="Trebuchet MS" w:cs="Trebuchet MS"/>
          <w:sz w:val="20"/>
          <w:szCs w:val="20"/>
        </w:rPr>
        <w:t xml:space="preserve">, Plav, </w:t>
      </w:r>
      <w:proofErr w:type="spellStart"/>
      <w:r>
        <w:rPr>
          <w:rFonts w:ascii="Trebuchet MS" w:eastAsia="Trebuchet MS" w:hAnsi="Trebuchet MS" w:cs="Trebuchet MS"/>
          <w:sz w:val="20"/>
          <w:szCs w:val="20"/>
        </w:rPr>
        <w:t>Gusinje</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Kolašin</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Mojkovac</w:t>
      </w:r>
      <w:proofErr w:type="spellEnd"/>
      <w:r>
        <w:rPr>
          <w:rFonts w:ascii="Trebuchet MS" w:eastAsia="Trebuchet MS" w:hAnsi="Trebuchet MS" w:cs="Trebuchet MS"/>
          <w:sz w:val="20"/>
          <w:szCs w:val="20"/>
        </w:rPr>
        <w:t xml:space="preserve">, and </w:t>
      </w:r>
      <w:proofErr w:type="spellStart"/>
      <w:r>
        <w:rPr>
          <w:rFonts w:ascii="Trebuchet MS" w:eastAsia="Trebuchet MS" w:hAnsi="Trebuchet MS" w:cs="Trebuchet MS"/>
          <w:sz w:val="20"/>
          <w:szCs w:val="20"/>
        </w:rPr>
        <w:t>BijeloPolje</w:t>
      </w:r>
      <w:proofErr w:type="spellEnd"/>
      <w:r>
        <w:rPr>
          <w:rFonts w:ascii="Trebuchet MS" w:eastAsia="Trebuchet MS" w:hAnsi="Trebuchet MS" w:cs="Trebuchet MS"/>
          <w:sz w:val="20"/>
          <w:szCs w:val="20"/>
        </w:rPr>
        <w:t>—have experienced a steady decline in population over the past two decades. Young people often migrate to urban centers or abroad in search of better education, employment, and living conditions. This demographic shift reduces the number of active land users and erodes the social fabric of katun-based communities. With fewer families maintaining seasonal settlements or engaging in traditional forestry-related work, entire cultural landscapes risk abandonment.</w:t>
      </w:r>
    </w:p>
    <w:p w14:paraId="12F06D30"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2C998C9A"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2. Loss of intergenerational forest knowledge</w:t>
      </w:r>
    </w:p>
    <w:p w14:paraId="19B3B256"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The outmigration of youth and aging of rural populations severely hampers the transmission of knowledge related to sustainable forest use. Skills in katun construction, selective logging, wood drying and carving, and medicinal plant collection are often held by older generations, especially women. Without targeted initiatives to document and pass on this knowledge, a significant part of the region’s intangible heritage may be lost within a generation. This includes practical ecological understanding—such as the role of certain tree species for structural integrity or pest resistance—which is not typically captured in formal education.</w:t>
      </w:r>
    </w:p>
    <w:p w14:paraId="1DCD3E2C"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65D6E8E9"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3. Insufficient valorization of forest-based cultural heritage</w:t>
      </w:r>
    </w:p>
    <w:p w14:paraId="00B22510"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Although Montenegro’s national and regional parks encompass areas rich in cultural heritage, tourism strategies have largely focused on natural attractions without fully integrating forest-related traditions and material culture. Wooden katuns, symbolic carvings, and foraged products are underrepresented in visitor interpretation materials, tour offerings, and school programs. As a result, rural communities miss economic opportunities linked to cultural tourism, and the broader public remains unaware of the value of these traditions.</w:t>
      </w:r>
    </w:p>
    <w:p w14:paraId="4D44984D"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5B93925F"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4. Unregulated tourism in sensitive forest zones</w:t>
      </w:r>
    </w:p>
    <w:p w14:paraId="476327FE"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post-pandemic tourism boom has brought increasing numbers of domestic and international visitors to forested areas like </w:t>
      </w:r>
      <w:proofErr w:type="spellStart"/>
      <w:r>
        <w:rPr>
          <w:rFonts w:ascii="Trebuchet MS" w:eastAsia="Trebuchet MS" w:hAnsi="Trebuchet MS" w:cs="Trebuchet MS"/>
          <w:sz w:val="20"/>
          <w:szCs w:val="20"/>
        </w:rPr>
        <w:t>Biogradska</w:t>
      </w:r>
      <w:proofErr w:type="spellEnd"/>
      <w:r>
        <w:rPr>
          <w:rFonts w:ascii="Trebuchet MS" w:eastAsia="Trebuchet MS" w:hAnsi="Trebuchet MS" w:cs="Trebuchet MS"/>
          <w:sz w:val="20"/>
          <w:szCs w:val="20"/>
        </w:rPr>
        <w:t xml:space="preserve"> Gora,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While this creates new economic possibilities, it also introduces ecological risks—such as trail erosion, disturbance of wildlife, and waste accumulation—when infrastructure and visitor management are lacking. In many cases, tourism benefits </w:t>
      </w:r>
      <w:proofErr w:type="gramStart"/>
      <w:r>
        <w:rPr>
          <w:rFonts w:ascii="Trebuchet MS" w:eastAsia="Trebuchet MS" w:hAnsi="Trebuchet MS" w:cs="Trebuchet MS"/>
          <w:sz w:val="20"/>
          <w:szCs w:val="20"/>
        </w:rPr>
        <w:t>bypass</w:t>
      </w:r>
      <w:proofErr w:type="gramEnd"/>
      <w:r>
        <w:rPr>
          <w:rFonts w:ascii="Trebuchet MS" w:eastAsia="Trebuchet MS" w:hAnsi="Trebuchet MS" w:cs="Trebuchet MS"/>
          <w:sz w:val="20"/>
          <w:szCs w:val="20"/>
        </w:rPr>
        <w:t xml:space="preserve"> local communities altogether, reinforcing inequalities and contributing to resentment toward conservation policies.</w:t>
      </w:r>
    </w:p>
    <w:p w14:paraId="4202212D"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66BF9662"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5. Poor rural infrastructure</w:t>
      </w:r>
    </w:p>
    <w:p w14:paraId="5EF9220A"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Many katuns and remote villages lack basic services such as reliable roads, electricity, water supply, and mobile or internet coverage. This limits the ability of residents to maintain seasonal livelihoods and discourages new initiatives such as ecotourism or small-scale production of forest-based goods. Without targeted investment in climate-resilient and culturally sensitive infrastructure, efforts to revitalize forest-linked communities will remain marginal.</w:t>
      </w:r>
    </w:p>
    <w:p w14:paraId="169BBDD1"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6FCDA8C8"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6. Fragmented institutional coordination and support</w:t>
      </w:r>
    </w:p>
    <w:p w14:paraId="3FD0E0CA"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Forests in Montenegro fall under multiple governance frameworks, including those for forestry, protected areas, cultural heritage, and agriculture. However, coordination among responsible agencies is often weak, and support programs rarely </w:t>
      </w:r>
      <w:proofErr w:type="gramStart"/>
      <w:r>
        <w:rPr>
          <w:rFonts w:ascii="Trebuchet MS" w:eastAsia="Trebuchet MS" w:hAnsi="Trebuchet MS" w:cs="Trebuchet MS"/>
          <w:sz w:val="20"/>
          <w:szCs w:val="20"/>
        </w:rPr>
        <w:t>take into account</w:t>
      </w:r>
      <w:proofErr w:type="gramEnd"/>
      <w:r>
        <w:rPr>
          <w:rFonts w:ascii="Trebuchet MS" w:eastAsia="Trebuchet MS" w:hAnsi="Trebuchet MS" w:cs="Trebuchet MS"/>
          <w:sz w:val="20"/>
          <w:szCs w:val="20"/>
        </w:rPr>
        <w:t xml:space="preserve"> the integrated nature of rural forest livelihoods. For example, transhumance remains undervalued in forestry and rural development policies, despite its role in maintaining open habitats and traditional land-use patterns. Without a unified approach, local actors struggle to navigate administrative requirements or access funding.</w:t>
      </w:r>
    </w:p>
    <w:p w14:paraId="4B4C8105"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50FE7C46"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7. Disappearance of traditional forest-based crafts</w:t>
      </w:r>
    </w:p>
    <w:p w14:paraId="4DF27301"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Crafts rooted in forest resources—such as the making of wooden shingles (</w:t>
      </w:r>
      <w:proofErr w:type="spellStart"/>
      <w:r>
        <w:rPr>
          <w:rFonts w:ascii="Trebuchet MS" w:eastAsia="Trebuchet MS" w:hAnsi="Trebuchet MS" w:cs="Trebuchet MS"/>
          <w:sz w:val="20"/>
          <w:szCs w:val="20"/>
        </w:rPr>
        <w:t>šindra</w:t>
      </w:r>
      <w:proofErr w:type="spellEnd"/>
      <w:r>
        <w:rPr>
          <w:rFonts w:ascii="Trebuchet MS" w:eastAsia="Trebuchet MS" w:hAnsi="Trebuchet MS" w:cs="Trebuchet MS"/>
          <w:sz w:val="20"/>
          <w:szCs w:val="20"/>
        </w:rPr>
        <w:t>), carved cheese vats (</w:t>
      </w:r>
      <w:proofErr w:type="spellStart"/>
      <w:r>
        <w:rPr>
          <w:rFonts w:ascii="Trebuchet MS" w:eastAsia="Trebuchet MS" w:hAnsi="Trebuchet MS" w:cs="Trebuchet MS"/>
          <w:sz w:val="20"/>
          <w:szCs w:val="20"/>
        </w:rPr>
        <w:t>kača</w:t>
      </w:r>
      <w:proofErr w:type="spellEnd"/>
      <w:r>
        <w:rPr>
          <w:rFonts w:ascii="Trebuchet MS" w:eastAsia="Trebuchet MS" w:hAnsi="Trebuchet MS" w:cs="Trebuchet MS"/>
          <w:sz w:val="20"/>
          <w:szCs w:val="20"/>
        </w:rPr>
        <w:t>), and lidded cream dishes (</w:t>
      </w:r>
      <w:proofErr w:type="spellStart"/>
      <w:r>
        <w:rPr>
          <w:rFonts w:ascii="Trebuchet MS" w:eastAsia="Trebuchet MS" w:hAnsi="Trebuchet MS" w:cs="Trebuchet MS"/>
          <w:sz w:val="20"/>
          <w:szCs w:val="20"/>
        </w:rPr>
        <w:t>karlica</w:t>
      </w:r>
      <w:proofErr w:type="spellEnd"/>
      <w:r>
        <w:rPr>
          <w:rFonts w:ascii="Trebuchet MS" w:eastAsia="Trebuchet MS" w:hAnsi="Trebuchet MS" w:cs="Trebuchet MS"/>
          <w:sz w:val="20"/>
          <w:szCs w:val="20"/>
        </w:rPr>
        <w:t>)—are rapidly disappearing due to lack of practitioners and market demand. These items are not only utilitarian but also carry deep symbolic and cultural meaning, often tied to local identity and family traditions. The craftsmanship involved is based on detailed knowledge of wood types, drying processes, and tool use—skills rarely documented or formally taught. Without urgent efforts to support master artisans and involve younger generations, these traditions may vanish, severing a key link between cultural heritage and forest stewardship.</w:t>
      </w:r>
    </w:p>
    <w:p w14:paraId="6932C494"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5BAC4C16"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Each of these challenges is a barrier to the region’s sustainable future—but also an invitation to act. Through targeted actions outlined in the following sections, Montenegro can harness the strengths of its forest ecosystems and cultural traditions to create an inclusive, ecologically sound, and economically resilient model.</w:t>
      </w:r>
    </w:p>
    <w:p w14:paraId="7BEFDE87"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3C38C885" w14:textId="77777777" w:rsidR="00E24EC1" w:rsidRDefault="00E24EC1">
      <w:pPr>
        <w:pBdr>
          <w:top w:val="nil"/>
          <w:left w:val="nil"/>
          <w:bottom w:val="nil"/>
          <w:right w:val="nil"/>
          <w:between w:val="nil"/>
        </w:pBdr>
        <w:jc w:val="both"/>
        <w:rPr>
          <w:rFonts w:ascii="Trebuchet MS" w:eastAsia="Trebuchet MS" w:hAnsi="Trebuchet MS" w:cs="Trebuchet MS"/>
          <w:color w:val="FF0000"/>
          <w:sz w:val="20"/>
          <w:szCs w:val="20"/>
        </w:rPr>
      </w:pPr>
    </w:p>
    <w:p w14:paraId="69716A4F"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Opportunities</w:t>
      </w:r>
    </w:p>
    <w:p w14:paraId="3F084A4A"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Despite the pressures facing Montenegro’s forest-based cultural landscapes, 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region stands at a unique crossroads where traditional knowledge, ecological richness, and emerging tourism trends converge. As rural communities seek pathways for revitalization and sustainable livelihoods, </w:t>
      </w:r>
      <w:proofErr w:type="gramStart"/>
      <w:r>
        <w:rPr>
          <w:rFonts w:ascii="Trebuchet MS" w:eastAsia="Trebuchet MS" w:hAnsi="Trebuchet MS" w:cs="Trebuchet MS"/>
          <w:sz w:val="20"/>
          <w:szCs w:val="20"/>
        </w:rPr>
        <w:t>a number of</w:t>
      </w:r>
      <w:proofErr w:type="gramEnd"/>
      <w:r>
        <w:rPr>
          <w:rFonts w:ascii="Trebuchet MS" w:eastAsia="Trebuchet MS" w:hAnsi="Trebuchet MS" w:cs="Trebuchet MS"/>
          <w:sz w:val="20"/>
          <w:szCs w:val="20"/>
        </w:rPr>
        <w:t xml:space="preserve"> opportunities emerge to revalue forest heritage not only as a natural asset, but as a driver of inclusive development. These opportunities lie in the growing demand </w:t>
      </w:r>
      <w:r>
        <w:rPr>
          <w:rFonts w:ascii="Trebuchet MS" w:eastAsia="Trebuchet MS" w:hAnsi="Trebuchet MS" w:cs="Trebuchet MS"/>
          <w:sz w:val="20"/>
          <w:szCs w:val="20"/>
        </w:rPr>
        <w:lastRenderedPageBreak/>
        <w:t xml:space="preserve">for authentic rural experiences, the strong cultural identity linked to wood and forest use, and the active role of women in preserving and transmitting this knowledge. With the right support, these elements can be transformed into concrete actions that align conservation with creativity, tradition with innovation, and local pride with international visibility. The following chapter </w:t>
      </w:r>
      <w:proofErr w:type="spellStart"/>
      <w:r>
        <w:rPr>
          <w:rFonts w:ascii="Trebuchet MS" w:eastAsia="Trebuchet MS" w:hAnsi="Trebuchet MS" w:cs="Trebuchet MS"/>
          <w:sz w:val="20"/>
          <w:szCs w:val="20"/>
        </w:rPr>
        <w:t>summarises</w:t>
      </w:r>
      <w:proofErr w:type="spellEnd"/>
      <w:r>
        <w:rPr>
          <w:rFonts w:ascii="Trebuchet MS" w:eastAsia="Trebuchet MS" w:hAnsi="Trebuchet MS" w:cs="Trebuchet MS"/>
          <w:sz w:val="20"/>
          <w:szCs w:val="20"/>
        </w:rPr>
        <w:t xml:space="preserve"> the challenges and opportunities identified in Regional Analysis.</w:t>
      </w:r>
    </w:p>
    <w:p w14:paraId="3C16E0CF"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54BB3C91"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Rising demand for eco-conscious and authentic tourism</w:t>
      </w:r>
    </w:p>
    <w:p w14:paraId="2E0F5893"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Montenegro is increasingly recognized as a destination for travelers seeking unspoiled nature, cultural authenticity, and meaningful experiences. The global trend toward sustainability in travel — particularly since the COVID-19 pandemic — presents an opportunity to reposition forest-based and transhumance-related traditions as premium, experience-rich offers. This includes guided visits to katuns, storytelling about forest life, and participation in seasonal activities such as berry foraging or woodcraft demonstrations.</w:t>
      </w:r>
    </w:p>
    <w:p w14:paraId="1DC5C756"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477CF01B"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Synergy between natural richness and cultural uniqueness</w:t>
      </w:r>
    </w:p>
    <w:p w14:paraId="1F1408B0"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and Prokletije region offers a rare blend of high ecological value and distinctive cultural practices tied to forest use. This dual identity can be leveraged to create integrated conservation and development models. For example, combining biodiversity protection goals with cultural landscape management — such as preserving katun settlements and transhumance routes — aligns with both environmental and heritage policy objectives.</w:t>
      </w:r>
    </w:p>
    <w:p w14:paraId="5E9E0959"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6FD98B1F"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Empowerment of women as knowledge holders and tourism innovators</w:t>
      </w:r>
    </w:p>
    <w:p w14:paraId="07BB24C4"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In mountain communities, women play a central role in preserving and transmitting forest-related knowledge, including herbal medicine, seasonal food preservation, woodcarving, and ritual practices. The growing recognition of women’s contributions to sustainable tourism and cultural resilience opens space for targeted support programs that engage them as both custodians and entrepreneurs — helping ensure the continuity of these traditions in modern tourism contexts.</w:t>
      </w:r>
    </w:p>
    <w:p w14:paraId="317E3A76"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529590BD"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Protected areas and rural tourism networks as operational platforms</w:t>
      </w:r>
    </w:p>
    <w:p w14:paraId="4EDE94A0"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The region already includes national parks (e.g., </w:t>
      </w:r>
      <w:proofErr w:type="spellStart"/>
      <w:r>
        <w:rPr>
          <w:rFonts w:ascii="Trebuchet MS" w:eastAsia="Trebuchet MS" w:hAnsi="Trebuchet MS" w:cs="Trebuchet MS"/>
          <w:sz w:val="20"/>
          <w:szCs w:val="20"/>
        </w:rPr>
        <w:t>Biogradska</w:t>
      </w:r>
      <w:proofErr w:type="spellEnd"/>
      <w:r>
        <w:rPr>
          <w:rFonts w:ascii="Trebuchet MS" w:eastAsia="Trebuchet MS" w:hAnsi="Trebuchet MS" w:cs="Trebuchet MS"/>
          <w:sz w:val="20"/>
          <w:szCs w:val="20"/>
        </w:rPr>
        <w:t xml:space="preserve"> Gora, Prokletije) and regional parks (e.g.,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that provide both legal protection and physical infrastructure. Additionally, many households engaged in rural tourism could act as early adopters of new forest-based offers, including thematic trails, interpretive signage, or educational programs. These networks can be mobilized to test and scale up community-driven initiatives linked to the Danube Wood(s)Route.</w:t>
      </w:r>
    </w:p>
    <w:p w14:paraId="4BF8A287"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1C7FFE2B" w14:textId="77777777" w:rsidR="00E24EC1" w:rsidRDefault="00000000">
      <w:pPr>
        <w:pBdr>
          <w:top w:val="nil"/>
          <w:left w:val="nil"/>
          <w:bottom w:val="nil"/>
          <w:right w:val="nil"/>
          <w:between w:val="nil"/>
        </w:pBdr>
        <w:jc w:val="both"/>
        <w:rPr>
          <w:rFonts w:ascii="Trebuchet MS" w:eastAsia="Trebuchet MS" w:hAnsi="Trebuchet MS" w:cs="Trebuchet MS"/>
          <w:b/>
          <w:sz w:val="20"/>
          <w:szCs w:val="20"/>
        </w:rPr>
      </w:pPr>
      <w:r>
        <w:rPr>
          <w:rFonts w:ascii="Trebuchet MS" w:eastAsia="Trebuchet MS" w:hAnsi="Trebuchet MS" w:cs="Trebuchet MS"/>
          <w:b/>
          <w:sz w:val="20"/>
          <w:szCs w:val="20"/>
        </w:rPr>
        <w:t>Development of new training programs inspired by forest heritage</w:t>
      </w:r>
    </w:p>
    <w:p w14:paraId="75468B63"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There is strong potential to introduce creative and accessible training modules focused on “Decorating in the Spirit of Forests,” aimed particularly at women and rural households. These trainings would support the use of locally sourced wood, traditional motifs, and natural materials in interior and exterior decoration — reinforcing visual storytelling of forest-related heritage. Such programs could help rural households stand out in the tourism market while strengthening cultural pride and intergenerational learning.</w:t>
      </w:r>
    </w:p>
    <w:p w14:paraId="2E5E5804" w14:textId="77777777" w:rsidR="00E24EC1" w:rsidRDefault="00E24EC1">
      <w:pPr>
        <w:pBdr>
          <w:top w:val="nil"/>
          <w:left w:val="nil"/>
          <w:bottom w:val="nil"/>
          <w:right w:val="nil"/>
          <w:between w:val="nil"/>
        </w:pBdr>
        <w:rPr>
          <w:rFonts w:ascii="Trebuchet MS" w:eastAsia="Trebuchet MS" w:hAnsi="Trebuchet MS" w:cs="Trebuchet MS"/>
          <w:sz w:val="20"/>
          <w:szCs w:val="20"/>
        </w:rPr>
      </w:pPr>
    </w:p>
    <w:tbl>
      <w:tblPr>
        <w:tblStyle w:val="ad"/>
        <w:tblW w:w="8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0"/>
        <w:gridCol w:w="4050"/>
      </w:tblGrid>
      <w:tr w:rsidR="00E24EC1" w14:paraId="1299CF0A" w14:textId="77777777" w:rsidTr="00E24E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50" w:type="dxa"/>
            <w:tcBorders>
              <w:bottom w:val="nil"/>
            </w:tcBorders>
          </w:tcPr>
          <w:p w14:paraId="74635F73" w14:textId="77777777" w:rsidR="00E24EC1" w:rsidRDefault="00000000">
            <w:pPr>
              <w:rPr>
                <w:rFonts w:ascii="Calibri" w:eastAsia="Calibri" w:hAnsi="Calibri" w:cs="Calibri"/>
                <w:color w:val="000000"/>
                <w:sz w:val="22"/>
                <w:szCs w:val="22"/>
              </w:rPr>
            </w:pPr>
            <w:r>
              <w:rPr>
                <w:rFonts w:ascii="Calibri" w:eastAsia="Calibri" w:hAnsi="Calibri" w:cs="Calibri"/>
                <w:color w:val="000000"/>
                <w:sz w:val="22"/>
                <w:szCs w:val="22"/>
              </w:rPr>
              <w:t>Challenges</w:t>
            </w:r>
          </w:p>
        </w:tc>
        <w:tc>
          <w:tcPr>
            <w:tcW w:w="4050" w:type="dxa"/>
            <w:tcBorders>
              <w:bottom w:val="nil"/>
            </w:tcBorders>
          </w:tcPr>
          <w:p w14:paraId="2351C25A" w14:textId="77777777" w:rsidR="00E24EC1"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Opportunities</w:t>
            </w:r>
          </w:p>
        </w:tc>
      </w:tr>
      <w:tr w:rsidR="00E24EC1" w14:paraId="690E1238" w14:textId="77777777" w:rsidTr="00E24E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50" w:type="dxa"/>
          </w:tcPr>
          <w:p w14:paraId="31A86C07"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Depopulation of highland and rural areas</w:t>
            </w:r>
          </w:p>
        </w:tc>
        <w:tc>
          <w:tcPr>
            <w:tcW w:w="4050" w:type="dxa"/>
          </w:tcPr>
          <w:p w14:paraId="254527A1"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Community-led eco-tourism revitalizing remote settlements</w:t>
            </w:r>
          </w:p>
        </w:tc>
      </w:tr>
      <w:tr w:rsidR="00E24EC1" w14:paraId="5BD5B289" w14:textId="77777777" w:rsidTr="00E24EC1">
        <w:trPr>
          <w:trHeight w:val="900"/>
        </w:trPr>
        <w:tc>
          <w:tcPr>
            <w:cnfStyle w:val="001000000000" w:firstRow="0" w:lastRow="0" w:firstColumn="1" w:lastColumn="0" w:oddVBand="0" w:evenVBand="0" w:oddHBand="0" w:evenHBand="0" w:firstRowFirstColumn="0" w:firstRowLastColumn="0" w:lastRowFirstColumn="0" w:lastRowLastColumn="0"/>
            <w:tcW w:w="4050" w:type="dxa"/>
          </w:tcPr>
          <w:p w14:paraId="5BDDDA2A"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Loss of intergenerational knowledge (transhumance, forestry, crafts)</w:t>
            </w:r>
          </w:p>
        </w:tc>
        <w:tc>
          <w:tcPr>
            <w:tcW w:w="4050" w:type="dxa"/>
          </w:tcPr>
          <w:p w14:paraId="690765B5"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Mentorship and training programs to revive traditional skills</w:t>
            </w:r>
          </w:p>
        </w:tc>
      </w:tr>
      <w:tr w:rsidR="00E24EC1" w14:paraId="27818610" w14:textId="77777777" w:rsidTr="00E24EC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050" w:type="dxa"/>
          </w:tcPr>
          <w:p w14:paraId="302F0D2F" w14:textId="77777777" w:rsidR="00E24EC1" w:rsidRDefault="00000000">
            <w:pPr>
              <w:rPr>
                <w:rFonts w:ascii="Calibri" w:eastAsia="Calibri" w:hAnsi="Calibri" w:cs="Calibri"/>
                <w:color w:val="000000"/>
                <w:sz w:val="22"/>
                <w:szCs w:val="22"/>
              </w:rPr>
            </w:pPr>
            <w:proofErr w:type="spellStart"/>
            <w:r>
              <w:rPr>
                <w:rFonts w:ascii="Calibri" w:eastAsia="Calibri" w:hAnsi="Calibri" w:cs="Calibri"/>
                <w:b w:val="0"/>
                <w:color w:val="000000"/>
                <w:sz w:val="22"/>
                <w:szCs w:val="22"/>
              </w:rPr>
              <w:t>Underinterpretation</w:t>
            </w:r>
            <w:proofErr w:type="spellEnd"/>
            <w:r>
              <w:rPr>
                <w:rFonts w:ascii="Calibri" w:eastAsia="Calibri" w:hAnsi="Calibri" w:cs="Calibri"/>
                <w:b w:val="0"/>
                <w:color w:val="000000"/>
                <w:sz w:val="22"/>
                <w:szCs w:val="22"/>
              </w:rPr>
              <w:t xml:space="preserve"> of forest-based heritage in tourism and education</w:t>
            </w:r>
          </w:p>
        </w:tc>
        <w:tc>
          <w:tcPr>
            <w:tcW w:w="4050" w:type="dxa"/>
          </w:tcPr>
          <w:p w14:paraId="18198EA1"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Storytelling and interpretation models for katun and forest culture</w:t>
            </w:r>
          </w:p>
        </w:tc>
      </w:tr>
      <w:tr w:rsidR="00E24EC1" w14:paraId="75DBC175" w14:textId="77777777" w:rsidTr="00E24EC1">
        <w:trPr>
          <w:trHeight w:val="600"/>
        </w:trPr>
        <w:tc>
          <w:tcPr>
            <w:cnfStyle w:val="001000000000" w:firstRow="0" w:lastRow="0" w:firstColumn="1" w:lastColumn="0" w:oddVBand="0" w:evenVBand="0" w:oddHBand="0" w:evenHBand="0" w:firstRowFirstColumn="0" w:firstRowLastColumn="0" w:lastRowFirstColumn="0" w:lastRowLastColumn="0"/>
            <w:tcW w:w="4050" w:type="dxa"/>
          </w:tcPr>
          <w:p w14:paraId="2F00E9E8"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Unsustainable tourism in ecologically fragile zones</w:t>
            </w:r>
          </w:p>
        </w:tc>
        <w:tc>
          <w:tcPr>
            <w:tcW w:w="4050" w:type="dxa"/>
          </w:tcPr>
          <w:p w14:paraId="511A37CE"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Sustainable tourism plans with local benefit-sharing</w:t>
            </w:r>
          </w:p>
        </w:tc>
      </w:tr>
      <w:tr w:rsidR="00E24EC1" w14:paraId="5A4D4B07" w14:textId="77777777" w:rsidTr="00E24E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50" w:type="dxa"/>
          </w:tcPr>
          <w:p w14:paraId="0A99ADBA"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Climate change impacts (fires, storms, drought)</w:t>
            </w:r>
          </w:p>
        </w:tc>
        <w:tc>
          <w:tcPr>
            <w:tcW w:w="4050" w:type="dxa"/>
          </w:tcPr>
          <w:p w14:paraId="44AA74BD"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Climate-smart forestry and ecosystem restoration programs</w:t>
            </w:r>
          </w:p>
        </w:tc>
      </w:tr>
      <w:tr w:rsidR="00E24EC1" w14:paraId="6950EF4C" w14:textId="77777777" w:rsidTr="00E24EC1">
        <w:trPr>
          <w:trHeight w:val="600"/>
        </w:trPr>
        <w:tc>
          <w:tcPr>
            <w:cnfStyle w:val="001000000000" w:firstRow="0" w:lastRow="0" w:firstColumn="1" w:lastColumn="0" w:oddVBand="0" w:evenVBand="0" w:oddHBand="0" w:evenHBand="0" w:firstRowFirstColumn="0" w:firstRowLastColumn="0" w:lastRowFirstColumn="0" w:lastRowLastColumn="0"/>
            <w:tcW w:w="4050" w:type="dxa"/>
          </w:tcPr>
          <w:p w14:paraId="6244399C"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Illegal logging and weak forest governance</w:t>
            </w:r>
          </w:p>
        </w:tc>
        <w:tc>
          <w:tcPr>
            <w:tcW w:w="4050" w:type="dxa"/>
          </w:tcPr>
          <w:p w14:paraId="6E630F5A"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Stronger enforcement and community monitoring of forests</w:t>
            </w:r>
          </w:p>
        </w:tc>
      </w:tr>
      <w:tr w:rsidR="00E24EC1" w14:paraId="76A3835C" w14:textId="77777777" w:rsidTr="00E24E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50" w:type="dxa"/>
          </w:tcPr>
          <w:p w14:paraId="60F91D56"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Low value-added in wood processing</w:t>
            </w:r>
          </w:p>
        </w:tc>
        <w:tc>
          <w:tcPr>
            <w:tcW w:w="4050" w:type="dxa"/>
          </w:tcPr>
          <w:p w14:paraId="4FE74734"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Development of niche products (e.g., forest-based handicrafts)</w:t>
            </w:r>
          </w:p>
        </w:tc>
      </w:tr>
      <w:tr w:rsidR="00E24EC1" w14:paraId="11E39775" w14:textId="77777777" w:rsidTr="00E24EC1">
        <w:trPr>
          <w:trHeight w:val="600"/>
        </w:trPr>
        <w:tc>
          <w:tcPr>
            <w:cnfStyle w:val="001000000000" w:firstRow="0" w:lastRow="0" w:firstColumn="1" w:lastColumn="0" w:oddVBand="0" w:evenVBand="0" w:oddHBand="0" w:evenHBand="0" w:firstRowFirstColumn="0" w:firstRowLastColumn="0" w:lastRowFirstColumn="0" w:lastRowLastColumn="0"/>
            <w:tcW w:w="4050" w:type="dxa"/>
          </w:tcPr>
          <w:p w14:paraId="79F348B8"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Lack of incentives for sustainable forest and land use</w:t>
            </w:r>
          </w:p>
        </w:tc>
        <w:tc>
          <w:tcPr>
            <w:tcW w:w="4050" w:type="dxa"/>
          </w:tcPr>
          <w:p w14:paraId="0539B50E"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EU rural development funds for sustainable forestry and tourism</w:t>
            </w:r>
          </w:p>
        </w:tc>
      </w:tr>
      <w:tr w:rsidR="00E24EC1" w14:paraId="1740DA2E" w14:textId="77777777" w:rsidTr="00E24E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50" w:type="dxa"/>
          </w:tcPr>
          <w:p w14:paraId="63360DE9"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Aging rural population and youth emigration</w:t>
            </w:r>
          </w:p>
        </w:tc>
        <w:tc>
          <w:tcPr>
            <w:tcW w:w="4050" w:type="dxa"/>
          </w:tcPr>
          <w:p w14:paraId="2BC09C81"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Youth-led tourism and agroforestry initiatives</w:t>
            </w:r>
          </w:p>
        </w:tc>
      </w:tr>
      <w:tr w:rsidR="00E24EC1" w14:paraId="1093EFB3" w14:textId="77777777" w:rsidTr="00E24EC1">
        <w:trPr>
          <w:trHeight w:val="600"/>
        </w:trPr>
        <w:tc>
          <w:tcPr>
            <w:cnfStyle w:val="001000000000" w:firstRow="0" w:lastRow="0" w:firstColumn="1" w:lastColumn="0" w:oddVBand="0" w:evenVBand="0" w:oddHBand="0" w:evenHBand="0" w:firstRowFirstColumn="0" w:firstRowLastColumn="0" w:lastRowFirstColumn="0" w:lastRowLastColumn="0"/>
            <w:tcW w:w="4050" w:type="dxa"/>
          </w:tcPr>
          <w:p w14:paraId="2DFEDDF8"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Gender imbalance in access and recognition</w:t>
            </w:r>
          </w:p>
        </w:tc>
        <w:tc>
          <w:tcPr>
            <w:tcW w:w="4050" w:type="dxa"/>
          </w:tcPr>
          <w:p w14:paraId="259642F8"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Women-focused projects on forest heritage decoration and crafts</w:t>
            </w:r>
          </w:p>
        </w:tc>
      </w:tr>
      <w:tr w:rsidR="00E24EC1" w14:paraId="54CD62BE" w14:textId="77777777" w:rsidTr="00E24E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50" w:type="dxa"/>
          </w:tcPr>
          <w:p w14:paraId="165F6412"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 xml:space="preserve">Loss of traditional crafts (e.g., shingles, </w:t>
            </w:r>
            <w:proofErr w:type="spellStart"/>
            <w:r>
              <w:rPr>
                <w:rFonts w:ascii="Calibri" w:eastAsia="Calibri" w:hAnsi="Calibri" w:cs="Calibri"/>
                <w:b w:val="0"/>
                <w:color w:val="000000"/>
                <w:sz w:val="22"/>
                <w:szCs w:val="22"/>
              </w:rPr>
              <w:t>karlica</w:t>
            </w:r>
            <w:proofErr w:type="spellEnd"/>
            <w:r>
              <w:rPr>
                <w:rFonts w:ascii="Calibri" w:eastAsia="Calibri" w:hAnsi="Calibri" w:cs="Calibri"/>
                <w:b w:val="0"/>
                <w:color w:val="000000"/>
                <w:sz w:val="22"/>
                <w:szCs w:val="22"/>
              </w:rPr>
              <w:t xml:space="preserve">, </w:t>
            </w:r>
            <w:proofErr w:type="spellStart"/>
            <w:r>
              <w:rPr>
                <w:rFonts w:ascii="Calibri" w:eastAsia="Calibri" w:hAnsi="Calibri" w:cs="Calibri"/>
                <w:b w:val="0"/>
                <w:color w:val="000000"/>
                <w:sz w:val="22"/>
                <w:szCs w:val="22"/>
              </w:rPr>
              <w:t>kaca</w:t>
            </w:r>
            <w:proofErr w:type="spellEnd"/>
            <w:r>
              <w:rPr>
                <w:rFonts w:ascii="Calibri" w:eastAsia="Calibri" w:hAnsi="Calibri" w:cs="Calibri"/>
                <w:b w:val="0"/>
                <w:color w:val="000000"/>
                <w:sz w:val="22"/>
                <w:szCs w:val="22"/>
              </w:rPr>
              <w:t>)</w:t>
            </w:r>
          </w:p>
        </w:tc>
        <w:tc>
          <w:tcPr>
            <w:tcW w:w="4050" w:type="dxa"/>
          </w:tcPr>
          <w:p w14:paraId="648EC94C"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Craft heritage valorized through tourism and training</w:t>
            </w:r>
          </w:p>
        </w:tc>
      </w:tr>
      <w:tr w:rsidR="00E24EC1" w14:paraId="105D673E" w14:textId="77777777" w:rsidTr="00E24EC1">
        <w:trPr>
          <w:trHeight w:val="900"/>
        </w:trPr>
        <w:tc>
          <w:tcPr>
            <w:cnfStyle w:val="001000000000" w:firstRow="0" w:lastRow="0" w:firstColumn="1" w:lastColumn="0" w:oddVBand="0" w:evenVBand="0" w:oddHBand="0" w:evenHBand="0" w:firstRowFirstColumn="0" w:firstRowLastColumn="0" w:lastRowFirstColumn="0" w:lastRowLastColumn="0"/>
            <w:tcW w:w="4050" w:type="dxa"/>
          </w:tcPr>
          <w:p w14:paraId="6651EFB5"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Fragmented institutional cooperation and limited data exchange</w:t>
            </w:r>
          </w:p>
        </w:tc>
        <w:tc>
          <w:tcPr>
            <w:tcW w:w="4050" w:type="dxa"/>
          </w:tcPr>
          <w:p w14:paraId="7065E70A"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Cross-sectoral cooperation (culture, tourism, environment)</w:t>
            </w:r>
          </w:p>
        </w:tc>
      </w:tr>
      <w:tr w:rsidR="00E24EC1" w14:paraId="09D0E1F1" w14:textId="77777777" w:rsidTr="00E24EC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050" w:type="dxa"/>
          </w:tcPr>
          <w:p w14:paraId="6A4E6BB2"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Limited educational programs linked to forests and cultural heritage</w:t>
            </w:r>
          </w:p>
        </w:tc>
        <w:tc>
          <w:tcPr>
            <w:tcW w:w="4050" w:type="dxa"/>
          </w:tcPr>
          <w:p w14:paraId="5D867204" w14:textId="77777777" w:rsidR="00E24EC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Vocational curricula and training on wood, herbs, and traditions</w:t>
            </w:r>
          </w:p>
        </w:tc>
      </w:tr>
      <w:tr w:rsidR="00E24EC1" w14:paraId="697092A2" w14:textId="77777777" w:rsidTr="00E24EC1">
        <w:trPr>
          <w:trHeight w:val="600"/>
        </w:trPr>
        <w:tc>
          <w:tcPr>
            <w:cnfStyle w:val="001000000000" w:firstRow="0" w:lastRow="0" w:firstColumn="1" w:lastColumn="0" w:oddVBand="0" w:evenVBand="0" w:oddHBand="0" w:evenHBand="0" w:firstRowFirstColumn="0" w:firstRowLastColumn="0" w:lastRowFirstColumn="0" w:lastRowLastColumn="0"/>
            <w:tcW w:w="4050" w:type="dxa"/>
          </w:tcPr>
          <w:p w14:paraId="2D788FE7" w14:textId="77777777" w:rsidR="00E24EC1" w:rsidRDefault="00000000">
            <w:pPr>
              <w:rPr>
                <w:rFonts w:ascii="Calibri" w:eastAsia="Calibri" w:hAnsi="Calibri" w:cs="Calibri"/>
                <w:color w:val="000000"/>
                <w:sz w:val="22"/>
                <w:szCs w:val="22"/>
              </w:rPr>
            </w:pPr>
            <w:r>
              <w:rPr>
                <w:rFonts w:ascii="Calibri" w:eastAsia="Calibri" w:hAnsi="Calibri" w:cs="Calibri"/>
                <w:b w:val="0"/>
                <w:color w:val="000000"/>
                <w:sz w:val="22"/>
                <w:szCs w:val="22"/>
              </w:rPr>
              <w:t>Inadequate infrastructure in remote forest and katun zones</w:t>
            </w:r>
          </w:p>
        </w:tc>
        <w:tc>
          <w:tcPr>
            <w:tcW w:w="4050" w:type="dxa"/>
          </w:tcPr>
          <w:p w14:paraId="053550FC" w14:textId="77777777" w:rsidR="00E24EC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Targeted infrastructure upgrades linked to cultural tourism</w:t>
            </w:r>
          </w:p>
        </w:tc>
      </w:tr>
    </w:tbl>
    <w:p w14:paraId="1EB64ECF" w14:textId="77777777" w:rsidR="00E24EC1" w:rsidRDefault="00E24EC1">
      <w:pPr>
        <w:pBdr>
          <w:top w:val="nil"/>
          <w:left w:val="nil"/>
          <w:bottom w:val="nil"/>
          <w:right w:val="nil"/>
          <w:between w:val="nil"/>
        </w:pBdr>
        <w:rPr>
          <w:rFonts w:ascii="Trebuchet MS" w:eastAsia="Trebuchet MS" w:hAnsi="Trebuchet MS" w:cs="Trebuchet MS"/>
        </w:rPr>
      </w:pPr>
    </w:p>
    <w:p w14:paraId="52FA1BA3" w14:textId="77777777" w:rsidR="00E24EC1" w:rsidRDefault="00E24EC1">
      <w:pPr>
        <w:pBdr>
          <w:top w:val="nil"/>
          <w:left w:val="nil"/>
          <w:bottom w:val="nil"/>
          <w:right w:val="nil"/>
          <w:between w:val="nil"/>
        </w:pBdr>
        <w:rPr>
          <w:rFonts w:ascii="Trebuchet MS" w:eastAsia="Trebuchet MS" w:hAnsi="Trebuchet MS" w:cs="Trebuchet MS"/>
        </w:rPr>
      </w:pPr>
    </w:p>
    <w:p w14:paraId="60031E25" w14:textId="77777777" w:rsidR="00E24EC1" w:rsidRDefault="00E24EC1">
      <w:pPr>
        <w:pBdr>
          <w:top w:val="nil"/>
          <w:left w:val="nil"/>
          <w:bottom w:val="nil"/>
          <w:right w:val="nil"/>
          <w:between w:val="nil"/>
        </w:pBdr>
        <w:rPr>
          <w:rFonts w:ascii="Trebuchet MS" w:eastAsia="Trebuchet MS" w:hAnsi="Trebuchet MS" w:cs="Trebuchet MS"/>
        </w:rPr>
      </w:pPr>
    </w:p>
    <w:p w14:paraId="72A85ACA" w14:textId="77777777" w:rsidR="00E24EC1" w:rsidRDefault="00E24EC1">
      <w:pPr>
        <w:pBdr>
          <w:top w:val="nil"/>
          <w:left w:val="nil"/>
          <w:bottom w:val="nil"/>
          <w:right w:val="nil"/>
          <w:between w:val="nil"/>
        </w:pBdr>
        <w:rPr>
          <w:rFonts w:ascii="Trebuchet MS" w:eastAsia="Trebuchet MS" w:hAnsi="Trebuchet MS" w:cs="Trebuchet MS"/>
        </w:rPr>
      </w:pPr>
    </w:p>
    <w:p w14:paraId="3FAFE00F" w14:textId="77777777" w:rsidR="00E24EC1" w:rsidRDefault="00E24EC1">
      <w:pPr>
        <w:pBdr>
          <w:top w:val="nil"/>
          <w:left w:val="nil"/>
          <w:bottom w:val="nil"/>
          <w:right w:val="nil"/>
          <w:between w:val="nil"/>
        </w:pBdr>
        <w:rPr>
          <w:rFonts w:ascii="Trebuchet MS" w:eastAsia="Trebuchet MS" w:hAnsi="Trebuchet MS" w:cs="Trebuchet MS"/>
        </w:rPr>
      </w:pPr>
    </w:p>
    <w:p w14:paraId="59336FD9" w14:textId="77777777" w:rsidR="00E24EC1" w:rsidRDefault="00E24EC1">
      <w:pPr>
        <w:pBdr>
          <w:top w:val="nil"/>
          <w:left w:val="nil"/>
          <w:bottom w:val="nil"/>
          <w:right w:val="nil"/>
          <w:between w:val="nil"/>
        </w:pBdr>
        <w:rPr>
          <w:rFonts w:ascii="Trebuchet MS" w:eastAsia="Trebuchet MS" w:hAnsi="Trebuchet MS" w:cs="Trebuchet MS"/>
        </w:rPr>
      </w:pPr>
    </w:p>
    <w:p w14:paraId="2556ADDA" w14:textId="77777777" w:rsidR="00E24EC1" w:rsidRDefault="00E24EC1">
      <w:pPr>
        <w:pBdr>
          <w:top w:val="nil"/>
          <w:left w:val="nil"/>
          <w:bottom w:val="nil"/>
          <w:right w:val="nil"/>
          <w:between w:val="nil"/>
        </w:pBdr>
        <w:rPr>
          <w:rFonts w:ascii="Trebuchet MS" w:eastAsia="Trebuchet MS" w:hAnsi="Trebuchet MS" w:cs="Trebuchet MS"/>
        </w:rPr>
      </w:pPr>
    </w:p>
    <w:p w14:paraId="09584BC1" w14:textId="77777777" w:rsidR="00E24EC1" w:rsidRDefault="00E24EC1">
      <w:pPr>
        <w:pBdr>
          <w:top w:val="nil"/>
          <w:left w:val="nil"/>
          <w:bottom w:val="nil"/>
          <w:right w:val="nil"/>
          <w:between w:val="nil"/>
        </w:pBdr>
        <w:rPr>
          <w:rFonts w:ascii="Trebuchet MS" w:eastAsia="Trebuchet MS" w:hAnsi="Trebuchet MS" w:cs="Trebuchet MS"/>
        </w:rPr>
      </w:pPr>
    </w:p>
    <w:p w14:paraId="1B5EF080" w14:textId="77777777" w:rsidR="00E24EC1" w:rsidRDefault="00E24EC1">
      <w:pPr>
        <w:pBdr>
          <w:top w:val="nil"/>
          <w:left w:val="nil"/>
          <w:bottom w:val="nil"/>
          <w:right w:val="nil"/>
          <w:between w:val="nil"/>
        </w:pBdr>
        <w:rPr>
          <w:rFonts w:ascii="Trebuchet MS" w:eastAsia="Trebuchet MS" w:hAnsi="Trebuchet MS" w:cs="Trebuchet MS"/>
        </w:rPr>
      </w:pPr>
    </w:p>
    <w:p w14:paraId="243D199F" w14:textId="77777777" w:rsidR="00E24EC1" w:rsidRDefault="00E24EC1">
      <w:pPr>
        <w:pBdr>
          <w:top w:val="nil"/>
          <w:left w:val="nil"/>
          <w:bottom w:val="nil"/>
          <w:right w:val="nil"/>
          <w:between w:val="nil"/>
        </w:pBdr>
        <w:rPr>
          <w:rFonts w:ascii="Trebuchet MS" w:eastAsia="Trebuchet MS" w:hAnsi="Trebuchet MS" w:cs="Trebuchet MS"/>
        </w:rPr>
      </w:pPr>
    </w:p>
    <w:p w14:paraId="570CA84D" w14:textId="77777777" w:rsidR="00E24EC1" w:rsidRDefault="00E24EC1">
      <w:pPr>
        <w:pBdr>
          <w:top w:val="nil"/>
          <w:left w:val="nil"/>
          <w:bottom w:val="nil"/>
          <w:right w:val="nil"/>
          <w:between w:val="nil"/>
        </w:pBdr>
        <w:rPr>
          <w:rFonts w:ascii="Trebuchet MS" w:eastAsia="Trebuchet MS" w:hAnsi="Trebuchet MS" w:cs="Trebuchet MS"/>
        </w:rPr>
      </w:pPr>
    </w:p>
    <w:p w14:paraId="1BA16D03" w14:textId="77777777" w:rsidR="00E24EC1" w:rsidRDefault="00E24EC1">
      <w:pPr>
        <w:pBdr>
          <w:top w:val="nil"/>
          <w:left w:val="nil"/>
          <w:bottom w:val="nil"/>
          <w:right w:val="nil"/>
          <w:between w:val="nil"/>
        </w:pBdr>
        <w:rPr>
          <w:rFonts w:ascii="Trebuchet MS" w:eastAsia="Trebuchet MS" w:hAnsi="Trebuchet MS" w:cs="Trebuchet MS"/>
        </w:rPr>
      </w:pPr>
    </w:p>
    <w:p w14:paraId="1ADFDA2B" w14:textId="77777777" w:rsidR="00E24EC1" w:rsidRDefault="00E24EC1">
      <w:pPr>
        <w:pBdr>
          <w:top w:val="nil"/>
          <w:left w:val="nil"/>
          <w:bottom w:val="nil"/>
          <w:right w:val="nil"/>
          <w:between w:val="nil"/>
        </w:pBdr>
        <w:rPr>
          <w:rFonts w:ascii="Trebuchet MS" w:eastAsia="Trebuchet MS" w:hAnsi="Trebuchet MS" w:cs="Trebuchet MS"/>
        </w:rPr>
      </w:pPr>
    </w:p>
    <w:p w14:paraId="18C16171" w14:textId="77777777" w:rsidR="00E24EC1" w:rsidRDefault="00E24EC1">
      <w:pPr>
        <w:pBdr>
          <w:top w:val="nil"/>
          <w:left w:val="nil"/>
          <w:bottom w:val="nil"/>
          <w:right w:val="nil"/>
          <w:between w:val="nil"/>
        </w:pBdr>
        <w:rPr>
          <w:rFonts w:ascii="Trebuchet MS" w:eastAsia="Trebuchet MS" w:hAnsi="Trebuchet MS" w:cs="Trebuchet MS"/>
        </w:rPr>
      </w:pPr>
    </w:p>
    <w:p w14:paraId="4DC3D9E8" w14:textId="77777777" w:rsidR="00E24EC1" w:rsidRDefault="00E24EC1">
      <w:pPr>
        <w:pBdr>
          <w:top w:val="nil"/>
          <w:left w:val="nil"/>
          <w:bottom w:val="nil"/>
          <w:right w:val="nil"/>
          <w:between w:val="nil"/>
        </w:pBdr>
        <w:rPr>
          <w:rFonts w:ascii="Trebuchet MS" w:eastAsia="Trebuchet MS" w:hAnsi="Trebuchet MS" w:cs="Trebuchet MS"/>
        </w:rPr>
      </w:pPr>
    </w:p>
    <w:p w14:paraId="6D8B7969" w14:textId="77777777" w:rsidR="00E24EC1" w:rsidRDefault="00E24EC1">
      <w:pPr>
        <w:pBdr>
          <w:top w:val="nil"/>
          <w:left w:val="nil"/>
          <w:bottom w:val="nil"/>
          <w:right w:val="nil"/>
          <w:between w:val="nil"/>
        </w:pBdr>
        <w:rPr>
          <w:rFonts w:ascii="Trebuchet MS" w:eastAsia="Trebuchet MS" w:hAnsi="Trebuchet MS" w:cs="Trebuchet MS"/>
        </w:rPr>
      </w:pPr>
    </w:p>
    <w:p w14:paraId="1ABDB313" w14:textId="77777777" w:rsidR="00E24EC1" w:rsidRDefault="00E24EC1">
      <w:pPr>
        <w:pBdr>
          <w:top w:val="nil"/>
          <w:left w:val="nil"/>
          <w:bottom w:val="nil"/>
          <w:right w:val="nil"/>
          <w:between w:val="nil"/>
        </w:pBdr>
        <w:rPr>
          <w:rFonts w:ascii="Trebuchet MS" w:eastAsia="Trebuchet MS" w:hAnsi="Trebuchet MS" w:cs="Trebuchet MS"/>
        </w:rPr>
      </w:pPr>
    </w:p>
    <w:p w14:paraId="7A8B922D" w14:textId="77777777" w:rsidR="00E24EC1" w:rsidRDefault="00E24EC1">
      <w:pPr>
        <w:pBdr>
          <w:top w:val="nil"/>
          <w:left w:val="nil"/>
          <w:bottom w:val="nil"/>
          <w:right w:val="nil"/>
          <w:between w:val="nil"/>
        </w:pBdr>
        <w:rPr>
          <w:rFonts w:ascii="Trebuchet MS" w:eastAsia="Trebuchet MS" w:hAnsi="Trebuchet MS" w:cs="Trebuchet MS"/>
        </w:rPr>
      </w:pPr>
    </w:p>
    <w:p w14:paraId="5773C3FA" w14:textId="77777777" w:rsidR="00E24EC1" w:rsidRDefault="00E24EC1">
      <w:pPr>
        <w:pBdr>
          <w:top w:val="nil"/>
          <w:left w:val="nil"/>
          <w:bottom w:val="nil"/>
          <w:right w:val="nil"/>
          <w:between w:val="nil"/>
        </w:pBdr>
        <w:rPr>
          <w:rFonts w:ascii="Trebuchet MS" w:eastAsia="Trebuchet MS" w:hAnsi="Trebuchet MS" w:cs="Trebuchet MS"/>
        </w:rPr>
      </w:pPr>
    </w:p>
    <w:p w14:paraId="0F3242F0" w14:textId="77777777" w:rsidR="00E24EC1" w:rsidRDefault="00E24EC1">
      <w:pPr>
        <w:pBdr>
          <w:top w:val="nil"/>
          <w:left w:val="nil"/>
          <w:bottom w:val="nil"/>
          <w:right w:val="nil"/>
          <w:between w:val="nil"/>
        </w:pBdr>
        <w:rPr>
          <w:rFonts w:ascii="Trebuchet MS" w:eastAsia="Trebuchet MS" w:hAnsi="Trebuchet MS" w:cs="Trebuchet MS"/>
        </w:rPr>
      </w:pPr>
    </w:p>
    <w:p w14:paraId="163EA0FF" w14:textId="77777777" w:rsidR="00E24EC1" w:rsidRDefault="00E24EC1">
      <w:pPr>
        <w:pBdr>
          <w:top w:val="nil"/>
          <w:left w:val="nil"/>
          <w:bottom w:val="nil"/>
          <w:right w:val="nil"/>
          <w:between w:val="nil"/>
        </w:pBdr>
        <w:rPr>
          <w:rFonts w:ascii="Trebuchet MS" w:eastAsia="Trebuchet MS" w:hAnsi="Trebuchet MS" w:cs="Trebuchet MS"/>
        </w:rPr>
      </w:pPr>
    </w:p>
    <w:p w14:paraId="7BB305C3" w14:textId="77777777" w:rsidR="00E24EC1" w:rsidRDefault="00E24EC1">
      <w:pPr>
        <w:pBdr>
          <w:top w:val="nil"/>
          <w:left w:val="nil"/>
          <w:bottom w:val="nil"/>
          <w:right w:val="nil"/>
          <w:between w:val="nil"/>
        </w:pBdr>
        <w:rPr>
          <w:rFonts w:ascii="Trebuchet MS" w:eastAsia="Trebuchet MS" w:hAnsi="Trebuchet MS" w:cs="Trebuchet MS"/>
        </w:rPr>
      </w:pPr>
    </w:p>
    <w:p w14:paraId="1DF113B6" w14:textId="77777777" w:rsidR="00E24EC1" w:rsidRDefault="00E24EC1">
      <w:pPr>
        <w:pBdr>
          <w:top w:val="nil"/>
          <w:left w:val="nil"/>
          <w:bottom w:val="nil"/>
          <w:right w:val="nil"/>
          <w:between w:val="nil"/>
        </w:pBdr>
        <w:rPr>
          <w:rFonts w:ascii="Trebuchet MS" w:eastAsia="Trebuchet MS" w:hAnsi="Trebuchet MS" w:cs="Trebuchet MS"/>
        </w:rPr>
      </w:pPr>
    </w:p>
    <w:p w14:paraId="448DE8FC" w14:textId="77777777" w:rsidR="00E24EC1" w:rsidRDefault="00E24EC1">
      <w:pPr>
        <w:pBdr>
          <w:top w:val="nil"/>
          <w:left w:val="nil"/>
          <w:bottom w:val="nil"/>
          <w:right w:val="nil"/>
          <w:between w:val="nil"/>
        </w:pBdr>
        <w:rPr>
          <w:rFonts w:ascii="Trebuchet MS" w:eastAsia="Trebuchet MS" w:hAnsi="Trebuchet MS" w:cs="Trebuchet MS"/>
        </w:rPr>
      </w:pPr>
    </w:p>
    <w:p w14:paraId="132FEA69" w14:textId="77777777" w:rsidR="00E24EC1" w:rsidRDefault="00E24EC1">
      <w:pPr>
        <w:pBdr>
          <w:top w:val="nil"/>
          <w:left w:val="nil"/>
          <w:bottom w:val="nil"/>
          <w:right w:val="nil"/>
          <w:between w:val="nil"/>
        </w:pBdr>
        <w:rPr>
          <w:rFonts w:ascii="Trebuchet MS" w:eastAsia="Trebuchet MS" w:hAnsi="Trebuchet MS" w:cs="Trebuchet MS"/>
        </w:rPr>
      </w:pPr>
    </w:p>
    <w:p w14:paraId="30406FF9" w14:textId="77777777" w:rsidR="00E24EC1" w:rsidRDefault="00000000">
      <w:pPr>
        <w:pStyle w:val="Naslov1"/>
        <w:numPr>
          <w:ilvl w:val="0"/>
          <w:numId w:val="6"/>
        </w:numPr>
      </w:pPr>
      <w:bookmarkStart w:id="9" w:name="_heading=h.f3fjf0vbxxmr" w:colFirst="0" w:colLast="0"/>
      <w:bookmarkEnd w:id="9"/>
      <w:r>
        <w:lastRenderedPageBreak/>
        <w:t>Strategic framework</w:t>
      </w:r>
    </w:p>
    <w:p w14:paraId="33147548" w14:textId="77777777" w:rsidR="00E24EC1" w:rsidRDefault="00E24EC1">
      <w:pPr>
        <w:pBdr>
          <w:top w:val="nil"/>
          <w:left w:val="nil"/>
          <w:bottom w:val="nil"/>
          <w:right w:val="nil"/>
          <w:between w:val="nil"/>
        </w:pBdr>
        <w:jc w:val="both"/>
        <w:rPr>
          <w:rFonts w:ascii="Trebuchet MS" w:eastAsia="Trebuchet MS" w:hAnsi="Trebuchet MS" w:cs="Trebuchet MS"/>
          <w:color w:val="000000"/>
        </w:rPr>
      </w:pPr>
    </w:p>
    <w:p w14:paraId="32E40C1F"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Montenegro Regional Action Plan aligns with the overarching strategic framework defined in the Danube Wood(s) Cultural Route Strategy, which serves as the common foundation for all partner countries. This includes the shared vision of promoting sustainable forest management, enhancing cultural heritage linked to wood, and fostering rural resilience across the Danube region.</w:t>
      </w:r>
    </w:p>
    <w:p w14:paraId="71B1C73E"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 strategic objectives outlined in the common strategy—biodiversity conservation, heritage </w:t>
      </w:r>
      <w:proofErr w:type="spellStart"/>
      <w:r>
        <w:rPr>
          <w:rFonts w:ascii="Trebuchet MS" w:eastAsia="Trebuchet MS" w:hAnsi="Trebuchet MS" w:cs="Trebuchet MS"/>
          <w:color w:val="000000"/>
          <w:sz w:val="20"/>
          <w:szCs w:val="20"/>
        </w:rPr>
        <w:t>valorisation</w:t>
      </w:r>
      <w:proofErr w:type="spellEnd"/>
      <w:r>
        <w:rPr>
          <w:rFonts w:ascii="Trebuchet MS" w:eastAsia="Trebuchet MS" w:hAnsi="Trebuchet MS" w:cs="Trebuchet MS"/>
          <w:color w:val="000000"/>
          <w:sz w:val="20"/>
          <w:szCs w:val="20"/>
        </w:rPr>
        <w:t>, sustainable tourism development, and community empowerment—guide the development of this Action Plan. All actions and measures proposed herein are designed to reflect Montenegro’s specific context while contributing to the collective goals of the Danube Wood(s)Route initiative.</w:t>
      </w:r>
    </w:p>
    <w:p w14:paraId="4C358863"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Danube Wood(s) RAPs have a well-defined methodological approach with the following stages:</w:t>
      </w:r>
    </w:p>
    <w:p w14:paraId="3CBE2956" w14:textId="77777777" w:rsidR="00E24EC1" w:rsidRDefault="00000000">
      <w:pPr>
        <w:pBdr>
          <w:top w:val="nil"/>
          <w:left w:val="nil"/>
          <w:bottom w:val="nil"/>
          <w:right w:val="nil"/>
          <w:between w:val="nil"/>
        </w:pBdr>
        <w:rPr>
          <w:rFonts w:ascii="Trebuchet MS" w:eastAsia="Trebuchet MS" w:hAnsi="Trebuchet MS" w:cs="Trebuchet MS"/>
          <w:color w:val="000000"/>
        </w:rPr>
      </w:pPr>
      <w:r>
        <w:rPr>
          <w:noProof/>
        </w:rPr>
        <mc:AlternateContent>
          <mc:Choice Requires="wpg">
            <w:drawing>
              <wp:anchor distT="0" distB="0" distL="114300" distR="114300" simplePos="0" relativeHeight="251660288" behindDoc="0" locked="0" layoutInCell="1" hidden="0" allowOverlap="1" wp14:anchorId="72378D3B" wp14:editId="58320BB1">
                <wp:simplePos x="0" y="0"/>
                <wp:positionH relativeFrom="column">
                  <wp:posOffset>76201</wp:posOffset>
                </wp:positionH>
                <wp:positionV relativeFrom="paragraph">
                  <wp:posOffset>317500</wp:posOffset>
                </wp:positionV>
                <wp:extent cx="5695950" cy="3200400"/>
                <wp:effectExtent l="0" t="0" r="0" b="0"/>
                <wp:wrapTopAndBottom distT="0" distB="0"/>
                <wp:docPr id="1991072380" name="Skupina 1991072380"/>
                <wp:cNvGraphicFramePr/>
                <a:graphic xmlns:a="http://schemas.openxmlformats.org/drawingml/2006/main">
                  <a:graphicData uri="http://schemas.microsoft.com/office/word/2010/wordprocessingGroup">
                    <wpg:wgp>
                      <wpg:cNvGrpSpPr/>
                      <wpg:grpSpPr>
                        <a:xfrm>
                          <a:off x="0" y="0"/>
                          <a:ext cx="5695950" cy="3200400"/>
                          <a:chOff x="2498025" y="2172400"/>
                          <a:chExt cx="5695950" cy="3207800"/>
                        </a:xfrm>
                      </wpg:grpSpPr>
                      <wpg:grpSp>
                        <wpg:cNvPr id="879675647" name="Skupina 879675647"/>
                        <wpg:cNvGrpSpPr/>
                        <wpg:grpSpPr>
                          <a:xfrm>
                            <a:off x="2498025" y="2179800"/>
                            <a:ext cx="5695950" cy="3200400"/>
                            <a:chOff x="0" y="0"/>
                            <a:chExt cx="5695950" cy="3200400"/>
                          </a:xfrm>
                        </wpg:grpSpPr>
                        <wps:wsp>
                          <wps:cNvPr id="809927771" name="Pravokotnik 809927771"/>
                          <wps:cNvSpPr/>
                          <wps:spPr>
                            <a:xfrm>
                              <a:off x="0" y="0"/>
                              <a:ext cx="5695950" cy="3200400"/>
                            </a:xfrm>
                            <a:prstGeom prst="rect">
                              <a:avLst/>
                            </a:prstGeom>
                            <a:noFill/>
                            <a:ln>
                              <a:noFill/>
                            </a:ln>
                          </wps:spPr>
                          <wps:txbx>
                            <w:txbxContent>
                              <w:p w14:paraId="3B599073" w14:textId="77777777" w:rsidR="00E24EC1" w:rsidRDefault="00E24EC1">
                                <w:pPr>
                                  <w:textDirection w:val="btLr"/>
                                </w:pPr>
                              </w:p>
                            </w:txbxContent>
                          </wps:txbx>
                          <wps:bodyPr spcFirstLastPara="1" wrap="square" lIns="91425" tIns="91425" rIns="91425" bIns="91425" anchor="ctr" anchorCtr="0">
                            <a:noAutofit/>
                          </wps:bodyPr>
                        </wps:wsp>
                        <wpg:grpSp>
                          <wpg:cNvPr id="2085462481" name="Skupina 2085462481"/>
                          <wpg:cNvGrpSpPr/>
                          <wpg:grpSpPr>
                            <a:xfrm>
                              <a:off x="0" y="0"/>
                              <a:ext cx="5695950" cy="3200400"/>
                              <a:chOff x="0" y="0"/>
                              <a:chExt cx="5695950" cy="3200400"/>
                            </a:xfrm>
                          </wpg:grpSpPr>
                          <wps:wsp>
                            <wps:cNvPr id="1608277979" name="Pravokotnik 1608277979"/>
                            <wps:cNvSpPr/>
                            <wps:spPr>
                              <a:xfrm>
                                <a:off x="0" y="0"/>
                                <a:ext cx="5695950" cy="3200400"/>
                              </a:xfrm>
                              <a:prstGeom prst="rect">
                                <a:avLst/>
                              </a:prstGeom>
                              <a:noFill/>
                              <a:ln>
                                <a:noFill/>
                              </a:ln>
                            </wps:spPr>
                            <wps:txbx>
                              <w:txbxContent>
                                <w:p w14:paraId="165C09D2" w14:textId="77777777" w:rsidR="00E24EC1" w:rsidRDefault="00E24EC1">
                                  <w:pPr>
                                    <w:textDirection w:val="btLr"/>
                                  </w:pPr>
                                </w:p>
                              </w:txbxContent>
                            </wps:txbx>
                            <wps:bodyPr spcFirstLastPara="1" wrap="square" lIns="91425" tIns="91425" rIns="91425" bIns="91425" anchor="ctr" anchorCtr="0">
                              <a:noAutofit/>
                            </wps:bodyPr>
                          </wps:wsp>
                          <wps:wsp>
                            <wps:cNvPr id="1983606914" name="Prostoročno: oblika 1983606914"/>
                            <wps:cNvSpPr/>
                            <wps:spPr>
                              <a:xfrm>
                                <a:off x="2504584" y="584652"/>
                                <a:ext cx="652580" cy="91440"/>
                              </a:xfrm>
                              <a:custGeom>
                                <a:avLst/>
                                <a:gdLst/>
                                <a:ahLst/>
                                <a:cxnLst/>
                                <a:rect l="l" t="t" r="r" b="b"/>
                                <a:pathLst>
                                  <a:path w="120000" h="120000" extrusionOk="0">
                                    <a:moveTo>
                                      <a:pt x="0" y="60000"/>
                                    </a:moveTo>
                                    <a:lnTo>
                                      <a:pt x="120000" y="60000"/>
                                    </a:lnTo>
                                  </a:path>
                                </a:pathLst>
                              </a:custGeom>
                              <a:noFill/>
                              <a:ln w="9525" cap="rnd" cmpd="sng">
                                <a:solidFill>
                                  <a:schemeClr val="accent2"/>
                                </a:solidFill>
                                <a:prstDash val="solid"/>
                                <a:round/>
                                <a:headEnd type="none" w="sm" len="sm"/>
                                <a:tailEnd type="stealth" w="med" len="med"/>
                              </a:ln>
                            </wps:spPr>
                            <wps:txbx>
                              <w:txbxContent>
                                <w:p w14:paraId="40DBDCBD" w14:textId="77777777" w:rsidR="00E24EC1" w:rsidRDefault="00E24EC1">
                                  <w:pPr>
                                    <w:textDirection w:val="btLr"/>
                                  </w:pPr>
                                </w:p>
                              </w:txbxContent>
                            </wps:txbx>
                            <wps:bodyPr spcFirstLastPara="1" wrap="square" lIns="91425" tIns="91425" rIns="91425" bIns="91425" anchor="ctr" anchorCtr="0">
                              <a:noAutofit/>
                            </wps:bodyPr>
                          </wps:wsp>
                          <wps:wsp>
                            <wps:cNvPr id="1041254379" name="Pravokotnik 1041254379"/>
                            <wps:cNvSpPr/>
                            <wps:spPr>
                              <a:xfrm>
                                <a:off x="2813795" y="626956"/>
                                <a:ext cx="34159" cy="6831"/>
                              </a:xfrm>
                              <a:prstGeom prst="rect">
                                <a:avLst/>
                              </a:prstGeom>
                              <a:noFill/>
                              <a:ln>
                                <a:noFill/>
                              </a:ln>
                            </wps:spPr>
                            <wps:txbx>
                              <w:txbxContent>
                                <w:p w14:paraId="751395EA" w14:textId="77777777" w:rsidR="00E24EC1" w:rsidRDefault="00E24EC1">
                                  <w:pPr>
                                    <w:spacing w:line="215" w:lineRule="auto"/>
                                    <w:jc w:val="center"/>
                                    <w:textDirection w:val="btLr"/>
                                  </w:pPr>
                                </w:p>
                              </w:txbxContent>
                            </wps:txbx>
                            <wps:bodyPr spcFirstLastPara="1" wrap="square" lIns="12700" tIns="0" rIns="12700" bIns="0" anchor="ctr" anchorCtr="0">
                              <a:noAutofit/>
                            </wps:bodyPr>
                          </wps:wsp>
                          <wps:wsp>
                            <wps:cNvPr id="1272643528" name="Pravokotnik 1272643528"/>
                            <wps:cNvSpPr/>
                            <wps:spPr>
                              <a:xfrm>
                                <a:off x="673976" y="2134"/>
                                <a:ext cx="1832408" cy="1256475"/>
                              </a:xfrm>
                              <a:prstGeom prst="rect">
                                <a:avLst/>
                              </a:prstGeom>
                              <a:solidFill>
                                <a:schemeClr val="accent2"/>
                              </a:solidFill>
                              <a:ln w="19050" cap="rnd" cmpd="sng">
                                <a:solidFill>
                                  <a:schemeClr val="lt1"/>
                                </a:solidFill>
                                <a:prstDash val="solid"/>
                                <a:round/>
                                <a:headEnd type="none" w="sm" len="sm"/>
                                <a:tailEnd type="none" w="sm" len="sm"/>
                              </a:ln>
                            </wps:spPr>
                            <wps:txbx>
                              <w:txbxContent>
                                <w:p w14:paraId="28B1A78A" w14:textId="77777777" w:rsidR="00E24EC1" w:rsidRDefault="00E24EC1">
                                  <w:pPr>
                                    <w:textDirection w:val="btLr"/>
                                  </w:pPr>
                                </w:p>
                              </w:txbxContent>
                            </wps:txbx>
                            <wps:bodyPr spcFirstLastPara="1" wrap="square" lIns="91425" tIns="91425" rIns="91425" bIns="91425" anchor="ctr" anchorCtr="0">
                              <a:noAutofit/>
                            </wps:bodyPr>
                          </wps:wsp>
                          <wps:wsp>
                            <wps:cNvPr id="443118641" name="Pravokotnik 443118641"/>
                            <wps:cNvSpPr/>
                            <wps:spPr>
                              <a:xfrm>
                                <a:off x="673976" y="2134"/>
                                <a:ext cx="1832408" cy="1256475"/>
                              </a:xfrm>
                              <a:prstGeom prst="rect">
                                <a:avLst/>
                              </a:prstGeom>
                              <a:noFill/>
                              <a:ln>
                                <a:noFill/>
                              </a:ln>
                            </wps:spPr>
                            <wps:txbx>
                              <w:txbxContent>
                                <w:p w14:paraId="24C6F0EA" w14:textId="77777777" w:rsidR="00E24EC1" w:rsidRDefault="00000000">
                                  <w:pPr>
                                    <w:spacing w:line="215" w:lineRule="auto"/>
                                    <w:jc w:val="center"/>
                                    <w:textDirection w:val="btLr"/>
                                  </w:pPr>
                                  <w:r>
                                    <w:rPr>
                                      <w:rFonts w:ascii="Trebuchet MS" w:eastAsia="Trebuchet MS" w:hAnsi="Trebuchet MS" w:cs="Trebuchet MS"/>
                                      <w:color w:val="000000"/>
                                    </w:rPr>
                                    <w:t>Key Territorial Needs defined in the AF</w:t>
                                  </w:r>
                                </w:p>
                              </w:txbxContent>
                            </wps:txbx>
                            <wps:bodyPr spcFirstLastPara="1" wrap="square" lIns="85325" tIns="85325" rIns="85325" bIns="85325" anchor="ctr" anchorCtr="0">
                              <a:noAutofit/>
                            </wps:bodyPr>
                          </wps:wsp>
                          <wps:wsp>
                            <wps:cNvPr id="1515310622" name="Prostoročno: oblika 1515310622"/>
                            <wps:cNvSpPr/>
                            <wps:spPr>
                              <a:xfrm>
                                <a:off x="1613676" y="1256809"/>
                                <a:ext cx="2492093" cy="621623"/>
                              </a:xfrm>
                              <a:custGeom>
                                <a:avLst/>
                                <a:gdLst/>
                                <a:ahLst/>
                                <a:cxnLst/>
                                <a:rect l="l" t="t" r="r" b="b"/>
                                <a:pathLst>
                                  <a:path w="120000" h="120000" extrusionOk="0">
                                    <a:moveTo>
                                      <a:pt x="120000" y="0"/>
                                    </a:moveTo>
                                    <a:lnTo>
                                      <a:pt x="120000" y="63301"/>
                                    </a:lnTo>
                                    <a:lnTo>
                                      <a:pt x="0" y="63301"/>
                                    </a:lnTo>
                                    <a:lnTo>
                                      <a:pt x="0" y="120000"/>
                                    </a:lnTo>
                                  </a:path>
                                </a:pathLst>
                              </a:custGeom>
                              <a:noFill/>
                              <a:ln w="9525" cap="rnd" cmpd="sng">
                                <a:solidFill>
                                  <a:srgbClr val="6DBECA"/>
                                </a:solidFill>
                                <a:prstDash val="solid"/>
                                <a:round/>
                                <a:headEnd type="none" w="sm" len="sm"/>
                                <a:tailEnd type="stealth" w="med" len="med"/>
                              </a:ln>
                            </wps:spPr>
                            <wps:txbx>
                              <w:txbxContent>
                                <w:p w14:paraId="677D2AF6" w14:textId="77777777" w:rsidR="00E24EC1" w:rsidRDefault="00E24EC1">
                                  <w:pPr>
                                    <w:textDirection w:val="btLr"/>
                                  </w:pPr>
                                </w:p>
                              </w:txbxContent>
                            </wps:txbx>
                            <wps:bodyPr spcFirstLastPara="1" wrap="square" lIns="91425" tIns="91425" rIns="91425" bIns="91425" anchor="ctr" anchorCtr="0">
                              <a:noAutofit/>
                            </wps:bodyPr>
                          </wps:wsp>
                          <wps:wsp>
                            <wps:cNvPr id="1913496676" name="Pravokotnik 1913496676"/>
                            <wps:cNvSpPr/>
                            <wps:spPr>
                              <a:xfrm>
                                <a:off x="2795322" y="1564205"/>
                                <a:ext cx="128801" cy="6831"/>
                              </a:xfrm>
                              <a:prstGeom prst="rect">
                                <a:avLst/>
                              </a:prstGeom>
                              <a:noFill/>
                              <a:ln>
                                <a:noFill/>
                              </a:ln>
                            </wps:spPr>
                            <wps:txbx>
                              <w:txbxContent>
                                <w:p w14:paraId="5CC435DB" w14:textId="77777777" w:rsidR="00E24EC1" w:rsidRDefault="00E24EC1">
                                  <w:pPr>
                                    <w:spacing w:line="215" w:lineRule="auto"/>
                                    <w:jc w:val="center"/>
                                    <w:textDirection w:val="btLr"/>
                                  </w:pPr>
                                </w:p>
                              </w:txbxContent>
                            </wps:txbx>
                            <wps:bodyPr spcFirstLastPara="1" wrap="square" lIns="12700" tIns="0" rIns="12700" bIns="0" anchor="ctr" anchorCtr="0">
                              <a:noAutofit/>
                            </wps:bodyPr>
                          </wps:wsp>
                          <wps:wsp>
                            <wps:cNvPr id="1701106748" name="Pravokotnik 1701106748"/>
                            <wps:cNvSpPr/>
                            <wps:spPr>
                              <a:xfrm>
                                <a:off x="3189565" y="2134"/>
                                <a:ext cx="1832408" cy="1256475"/>
                              </a:xfrm>
                              <a:prstGeom prst="rect">
                                <a:avLst/>
                              </a:prstGeom>
                              <a:solidFill>
                                <a:srgbClr val="8FBFCB"/>
                              </a:solidFill>
                              <a:ln w="19050" cap="rnd" cmpd="sng">
                                <a:solidFill>
                                  <a:schemeClr val="lt1"/>
                                </a:solidFill>
                                <a:prstDash val="solid"/>
                                <a:round/>
                                <a:headEnd type="none" w="sm" len="sm"/>
                                <a:tailEnd type="none" w="sm" len="sm"/>
                              </a:ln>
                            </wps:spPr>
                            <wps:txbx>
                              <w:txbxContent>
                                <w:p w14:paraId="7FD084E0" w14:textId="77777777" w:rsidR="00E24EC1" w:rsidRDefault="00E24EC1">
                                  <w:pPr>
                                    <w:textDirection w:val="btLr"/>
                                  </w:pPr>
                                </w:p>
                              </w:txbxContent>
                            </wps:txbx>
                            <wps:bodyPr spcFirstLastPara="1" wrap="square" lIns="91425" tIns="91425" rIns="91425" bIns="91425" anchor="ctr" anchorCtr="0">
                              <a:noAutofit/>
                            </wps:bodyPr>
                          </wps:wsp>
                          <wps:wsp>
                            <wps:cNvPr id="2003094265" name="Pravokotnik 2003094265"/>
                            <wps:cNvSpPr/>
                            <wps:spPr>
                              <a:xfrm>
                                <a:off x="3189565" y="2134"/>
                                <a:ext cx="1832408" cy="1256475"/>
                              </a:xfrm>
                              <a:prstGeom prst="rect">
                                <a:avLst/>
                              </a:prstGeom>
                              <a:noFill/>
                              <a:ln>
                                <a:noFill/>
                              </a:ln>
                            </wps:spPr>
                            <wps:txbx>
                              <w:txbxContent>
                                <w:p w14:paraId="2DB0C5A7" w14:textId="77777777" w:rsidR="00E24EC1" w:rsidRDefault="00000000">
                                  <w:pPr>
                                    <w:spacing w:line="215" w:lineRule="auto"/>
                                    <w:textDirection w:val="btLr"/>
                                  </w:pPr>
                                  <w:r>
                                    <w:rPr>
                                      <w:rFonts w:ascii="Trebuchet MS" w:eastAsia="Trebuchet MS" w:hAnsi="Trebuchet MS" w:cs="Trebuchet MS"/>
                                      <w:color w:val="000000"/>
                                    </w:rPr>
                                    <w:t>Danube Wood(s) Cultural Route Common Strategy</w:t>
                                  </w:r>
                                </w:p>
                                <w:p w14:paraId="719B50D6" w14:textId="77777777" w:rsidR="00E24EC1" w:rsidRDefault="00000000">
                                  <w:pPr>
                                    <w:spacing w:before="83" w:line="215" w:lineRule="auto"/>
                                    <w:ind w:left="90" w:firstLine="180"/>
                                    <w:textDirection w:val="btLr"/>
                                  </w:pPr>
                                  <w:r>
                                    <w:rPr>
                                      <w:rFonts w:ascii="Trebuchet MS" w:eastAsia="Trebuchet MS" w:hAnsi="Trebuchet MS" w:cs="Trebuchet MS"/>
                                      <w:color w:val="000000"/>
                                      <w:sz w:val="18"/>
                                    </w:rPr>
                                    <w:t>Strategic Objectives</w:t>
                                  </w:r>
                                </w:p>
                                <w:p w14:paraId="6E791248" w14:textId="77777777" w:rsidR="00E24EC1" w:rsidRDefault="00000000">
                                  <w:pPr>
                                    <w:spacing w:before="27" w:line="215" w:lineRule="auto"/>
                                    <w:ind w:left="90" w:firstLine="180"/>
                                    <w:textDirection w:val="btLr"/>
                                  </w:pPr>
                                  <w:r>
                                    <w:rPr>
                                      <w:rFonts w:ascii="Trebuchet MS" w:eastAsia="Trebuchet MS" w:hAnsi="Trebuchet MS" w:cs="Trebuchet MS"/>
                                      <w:color w:val="000000"/>
                                      <w:sz w:val="18"/>
                                    </w:rPr>
                                    <w:t>Strategic Actions</w:t>
                                  </w:r>
                                </w:p>
                              </w:txbxContent>
                            </wps:txbx>
                            <wps:bodyPr spcFirstLastPara="1" wrap="square" lIns="85325" tIns="85325" rIns="85325" bIns="85325" anchor="t" anchorCtr="0">
                              <a:noAutofit/>
                            </wps:bodyPr>
                          </wps:wsp>
                          <wps:wsp>
                            <wps:cNvPr id="560555740" name="Prostoročno: oblika 560555740"/>
                            <wps:cNvSpPr/>
                            <wps:spPr>
                              <a:xfrm>
                                <a:off x="2528080" y="2491871"/>
                                <a:ext cx="701323" cy="91440"/>
                              </a:xfrm>
                              <a:custGeom>
                                <a:avLst/>
                                <a:gdLst/>
                                <a:ahLst/>
                                <a:cxnLst/>
                                <a:rect l="l" t="t" r="r" b="b"/>
                                <a:pathLst>
                                  <a:path w="120000" h="120000" extrusionOk="0">
                                    <a:moveTo>
                                      <a:pt x="0" y="61941"/>
                                    </a:moveTo>
                                    <a:lnTo>
                                      <a:pt x="62926" y="61941"/>
                                    </a:lnTo>
                                    <a:lnTo>
                                      <a:pt x="62926" y="60000"/>
                                    </a:lnTo>
                                    <a:lnTo>
                                      <a:pt x="120000" y="60000"/>
                                    </a:lnTo>
                                  </a:path>
                                </a:pathLst>
                              </a:custGeom>
                              <a:noFill/>
                              <a:ln w="9525" cap="rnd" cmpd="sng">
                                <a:solidFill>
                                  <a:srgbClr val="18B8A4"/>
                                </a:solidFill>
                                <a:prstDash val="solid"/>
                                <a:round/>
                                <a:headEnd type="none" w="sm" len="sm"/>
                                <a:tailEnd type="stealth" w="med" len="med"/>
                              </a:ln>
                            </wps:spPr>
                            <wps:txbx>
                              <w:txbxContent>
                                <w:p w14:paraId="07172A8E" w14:textId="77777777" w:rsidR="00E24EC1" w:rsidRDefault="00E24EC1">
                                  <w:pPr>
                                    <w:textDirection w:val="btLr"/>
                                  </w:pPr>
                                </w:p>
                              </w:txbxContent>
                            </wps:txbx>
                            <wps:bodyPr spcFirstLastPara="1" wrap="square" lIns="91425" tIns="91425" rIns="91425" bIns="91425" anchor="ctr" anchorCtr="0">
                              <a:noAutofit/>
                            </wps:bodyPr>
                          </wps:wsp>
                          <wps:wsp>
                            <wps:cNvPr id="1253923895" name="Pravokotnik 1253923895"/>
                            <wps:cNvSpPr/>
                            <wps:spPr>
                              <a:xfrm>
                                <a:off x="2860444" y="2534175"/>
                                <a:ext cx="36596" cy="6831"/>
                              </a:xfrm>
                              <a:prstGeom prst="rect">
                                <a:avLst/>
                              </a:prstGeom>
                              <a:noFill/>
                              <a:ln>
                                <a:noFill/>
                              </a:ln>
                            </wps:spPr>
                            <wps:txbx>
                              <w:txbxContent>
                                <w:p w14:paraId="00B09973" w14:textId="77777777" w:rsidR="00E24EC1" w:rsidRDefault="00E24EC1">
                                  <w:pPr>
                                    <w:spacing w:line="215" w:lineRule="auto"/>
                                    <w:jc w:val="center"/>
                                    <w:textDirection w:val="btLr"/>
                                  </w:pPr>
                                </w:p>
                              </w:txbxContent>
                            </wps:txbx>
                            <wps:bodyPr spcFirstLastPara="1" wrap="square" lIns="12700" tIns="0" rIns="12700" bIns="0" anchor="ctr" anchorCtr="0">
                              <a:noAutofit/>
                            </wps:bodyPr>
                          </wps:wsp>
                          <wps:wsp>
                            <wps:cNvPr id="5095266" name="Pravokotnik 5095266"/>
                            <wps:cNvSpPr/>
                            <wps:spPr>
                              <a:xfrm>
                                <a:off x="697472" y="1910833"/>
                                <a:ext cx="1832408" cy="1256475"/>
                              </a:xfrm>
                              <a:prstGeom prst="rect">
                                <a:avLst/>
                              </a:prstGeom>
                              <a:solidFill>
                                <a:srgbClr val="4AC4CB"/>
                              </a:solidFill>
                              <a:ln w="19050" cap="rnd" cmpd="sng">
                                <a:solidFill>
                                  <a:schemeClr val="lt1"/>
                                </a:solidFill>
                                <a:prstDash val="solid"/>
                                <a:round/>
                                <a:headEnd type="none" w="sm" len="sm"/>
                                <a:tailEnd type="none" w="sm" len="sm"/>
                              </a:ln>
                            </wps:spPr>
                            <wps:txbx>
                              <w:txbxContent>
                                <w:p w14:paraId="777275C7" w14:textId="77777777" w:rsidR="00E24EC1" w:rsidRDefault="00E24EC1">
                                  <w:pPr>
                                    <w:textDirection w:val="btLr"/>
                                  </w:pPr>
                                </w:p>
                              </w:txbxContent>
                            </wps:txbx>
                            <wps:bodyPr spcFirstLastPara="1" wrap="square" lIns="91425" tIns="91425" rIns="91425" bIns="91425" anchor="ctr" anchorCtr="0">
                              <a:noAutofit/>
                            </wps:bodyPr>
                          </wps:wsp>
                          <wps:wsp>
                            <wps:cNvPr id="2051233670" name="Pravokotnik 2051233670"/>
                            <wps:cNvSpPr/>
                            <wps:spPr>
                              <a:xfrm>
                                <a:off x="697472" y="1910833"/>
                                <a:ext cx="1832408" cy="1256475"/>
                              </a:xfrm>
                              <a:prstGeom prst="rect">
                                <a:avLst/>
                              </a:prstGeom>
                              <a:noFill/>
                              <a:ln>
                                <a:noFill/>
                              </a:ln>
                            </wps:spPr>
                            <wps:txbx>
                              <w:txbxContent>
                                <w:p w14:paraId="6715080F" w14:textId="77777777" w:rsidR="00E24EC1" w:rsidRDefault="00000000">
                                  <w:pPr>
                                    <w:spacing w:line="215" w:lineRule="auto"/>
                                    <w:textDirection w:val="btLr"/>
                                  </w:pPr>
                                  <w:r>
                                    <w:rPr>
                                      <w:rFonts w:ascii="Trebuchet MS" w:eastAsia="Trebuchet MS" w:hAnsi="Trebuchet MS" w:cs="Trebuchet MS"/>
                                      <w:color w:val="000000"/>
                                    </w:rPr>
                                    <w:t>Draft Regional Action Plan of Montenegro</w:t>
                                  </w:r>
                                </w:p>
                                <w:p w14:paraId="2CE30F3A" w14:textId="77777777" w:rsidR="00E24EC1" w:rsidRDefault="00000000">
                                  <w:pPr>
                                    <w:spacing w:before="83" w:line="215" w:lineRule="auto"/>
                                    <w:ind w:left="90" w:firstLine="180"/>
                                    <w:textDirection w:val="btLr"/>
                                  </w:pPr>
                                  <w:r>
                                    <w:rPr>
                                      <w:rFonts w:ascii="Trebuchet MS" w:eastAsia="Trebuchet MS" w:hAnsi="Trebuchet MS" w:cs="Trebuchet MS"/>
                                      <w:color w:val="000000"/>
                                      <w:sz w:val="18"/>
                                    </w:rPr>
                                    <w:t>Regional analysis</w:t>
                                  </w:r>
                                </w:p>
                                <w:p w14:paraId="1DCBED81" w14:textId="77777777" w:rsidR="00E24EC1" w:rsidRDefault="00000000">
                                  <w:pPr>
                                    <w:spacing w:before="27" w:line="215" w:lineRule="auto"/>
                                    <w:ind w:left="90" w:firstLine="180"/>
                                    <w:textDirection w:val="btLr"/>
                                  </w:pPr>
                                  <w:r>
                                    <w:rPr>
                                      <w:rFonts w:ascii="Trebuchet MS" w:eastAsia="Trebuchet MS" w:hAnsi="Trebuchet MS" w:cs="Trebuchet MS"/>
                                      <w:color w:val="000000"/>
                                      <w:sz w:val="18"/>
                                    </w:rPr>
                                    <w:t>Regional challanges and opportunities</w:t>
                                  </w:r>
                                </w:p>
                                <w:p w14:paraId="336321A4" w14:textId="77777777" w:rsidR="00E24EC1" w:rsidRDefault="00000000">
                                  <w:pPr>
                                    <w:spacing w:before="27" w:line="215" w:lineRule="auto"/>
                                    <w:ind w:left="90" w:firstLine="180"/>
                                    <w:textDirection w:val="btLr"/>
                                  </w:pPr>
                                  <w:r>
                                    <w:rPr>
                                      <w:rFonts w:ascii="Trebuchet MS" w:eastAsia="Trebuchet MS" w:hAnsi="Trebuchet MS" w:cs="Trebuchet MS"/>
                                      <w:color w:val="000000"/>
                                      <w:sz w:val="18"/>
                                    </w:rPr>
                                    <w:t>Stakeholder suggestions</w:t>
                                  </w:r>
                                </w:p>
                                <w:p w14:paraId="7D0E57C2" w14:textId="77777777" w:rsidR="00E24EC1" w:rsidRDefault="00000000">
                                  <w:pPr>
                                    <w:spacing w:before="27" w:line="215" w:lineRule="auto"/>
                                    <w:ind w:left="90" w:firstLine="180"/>
                                    <w:textDirection w:val="btLr"/>
                                  </w:pPr>
                                  <w:r>
                                    <w:rPr>
                                      <w:rFonts w:ascii="Trebuchet MS" w:eastAsia="Trebuchet MS" w:hAnsi="Trebuchet MS" w:cs="Trebuchet MS"/>
                                      <w:color w:val="000000"/>
                                      <w:sz w:val="18"/>
                                    </w:rPr>
                                    <w:t>Actionable measures</w:t>
                                  </w:r>
                                </w:p>
                              </w:txbxContent>
                            </wps:txbx>
                            <wps:bodyPr spcFirstLastPara="1" wrap="square" lIns="85325" tIns="85325" rIns="85325" bIns="85325" anchor="t" anchorCtr="0">
                              <a:noAutofit/>
                            </wps:bodyPr>
                          </wps:wsp>
                          <wps:wsp>
                            <wps:cNvPr id="239599107" name="Pravokotnik 239599107"/>
                            <wps:cNvSpPr/>
                            <wps:spPr>
                              <a:xfrm>
                                <a:off x="3261804" y="1909353"/>
                                <a:ext cx="1832408" cy="1256475"/>
                              </a:xfrm>
                              <a:prstGeom prst="rect">
                                <a:avLst/>
                              </a:prstGeom>
                              <a:solidFill>
                                <a:srgbClr val="18B8A4"/>
                              </a:solidFill>
                              <a:ln w="19050" cap="rnd" cmpd="sng">
                                <a:solidFill>
                                  <a:schemeClr val="lt1"/>
                                </a:solidFill>
                                <a:prstDash val="solid"/>
                                <a:round/>
                                <a:headEnd type="none" w="sm" len="sm"/>
                                <a:tailEnd type="none" w="sm" len="sm"/>
                              </a:ln>
                            </wps:spPr>
                            <wps:txbx>
                              <w:txbxContent>
                                <w:p w14:paraId="650F1B2F" w14:textId="77777777" w:rsidR="00E24EC1" w:rsidRDefault="00E24EC1">
                                  <w:pPr>
                                    <w:textDirection w:val="btLr"/>
                                  </w:pPr>
                                </w:p>
                              </w:txbxContent>
                            </wps:txbx>
                            <wps:bodyPr spcFirstLastPara="1" wrap="square" lIns="91425" tIns="91425" rIns="91425" bIns="91425" anchor="ctr" anchorCtr="0">
                              <a:noAutofit/>
                            </wps:bodyPr>
                          </wps:wsp>
                          <wps:wsp>
                            <wps:cNvPr id="2034913725" name="Pravokotnik 2034913725"/>
                            <wps:cNvSpPr/>
                            <wps:spPr>
                              <a:xfrm>
                                <a:off x="3261804" y="1909353"/>
                                <a:ext cx="1832408" cy="1256475"/>
                              </a:xfrm>
                              <a:prstGeom prst="rect">
                                <a:avLst/>
                              </a:prstGeom>
                              <a:noFill/>
                              <a:ln>
                                <a:noFill/>
                              </a:ln>
                            </wps:spPr>
                            <wps:txbx>
                              <w:txbxContent>
                                <w:p w14:paraId="0C9F2C11" w14:textId="77777777" w:rsidR="00E24EC1" w:rsidRDefault="00000000">
                                  <w:pPr>
                                    <w:spacing w:line="215" w:lineRule="auto"/>
                                    <w:jc w:val="center"/>
                                    <w:textDirection w:val="btLr"/>
                                  </w:pPr>
                                  <w:r>
                                    <w:rPr>
                                      <w:rFonts w:ascii="Trebuchet MS" w:eastAsia="Trebuchet MS" w:hAnsi="Trebuchet MS" w:cs="Trebuchet MS"/>
                                      <w:color w:val="000000"/>
                                    </w:rPr>
                                    <w:t>Final Regional Action Plan of Montenegro</w:t>
                                  </w:r>
                                </w:p>
                              </w:txbxContent>
                            </wps:txbx>
                            <wps:bodyPr spcFirstLastPara="1" wrap="square" lIns="85325" tIns="85325" rIns="85325" bIns="853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317500</wp:posOffset>
                </wp:positionV>
                <wp:extent cx="5695950" cy="3200400"/>
                <wp:effectExtent b="0" l="0" r="0" t="0"/>
                <wp:wrapTopAndBottom distB="0" distT="0"/>
                <wp:docPr id="199107238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695950" cy="3200400"/>
                        </a:xfrm>
                        <a:prstGeom prst="rect"/>
                        <a:ln/>
                      </pic:spPr>
                    </pic:pic>
                  </a:graphicData>
                </a:graphic>
              </wp:anchor>
            </w:drawing>
          </mc:Fallback>
        </mc:AlternateContent>
      </w:r>
    </w:p>
    <w:p w14:paraId="6644AD3E" w14:textId="77777777" w:rsidR="00E24EC1" w:rsidRDefault="00000000">
      <w:pPr>
        <w:pBdr>
          <w:top w:val="nil"/>
          <w:left w:val="nil"/>
          <w:bottom w:val="nil"/>
          <w:right w:val="nil"/>
          <w:between w:val="nil"/>
        </w:pBdr>
        <w:spacing w:after="200"/>
        <w:jc w:val="center"/>
        <w:rPr>
          <w:rFonts w:ascii="Trebuchet MS" w:eastAsia="Trebuchet MS" w:hAnsi="Trebuchet MS" w:cs="Trebuchet MS"/>
          <w:i/>
          <w:color w:val="000000"/>
        </w:rPr>
      </w:pPr>
      <w:r>
        <w:rPr>
          <w:rFonts w:ascii="Trebuchet MS" w:eastAsia="Trebuchet MS" w:hAnsi="Trebuchet MS" w:cs="Trebuchet MS"/>
          <w:i/>
          <w:color w:val="0C0C0C"/>
          <w:sz w:val="18"/>
          <w:szCs w:val="18"/>
        </w:rPr>
        <w:t xml:space="preserve">1. Figure: </w:t>
      </w:r>
      <w:r>
        <w:rPr>
          <w:rFonts w:ascii="Trebuchet MS" w:eastAsia="Trebuchet MS" w:hAnsi="Trebuchet MS" w:cs="Trebuchet MS"/>
          <w:i/>
          <w:color w:val="000000"/>
          <w:sz w:val="18"/>
          <w:szCs w:val="18"/>
        </w:rPr>
        <w:t>Development of the Regional Action Plan</w:t>
      </w:r>
    </w:p>
    <w:p w14:paraId="73B71E07" w14:textId="77777777" w:rsidR="00E24EC1" w:rsidRDefault="00E24EC1">
      <w:pPr>
        <w:pBdr>
          <w:top w:val="nil"/>
          <w:left w:val="nil"/>
          <w:bottom w:val="nil"/>
          <w:right w:val="nil"/>
          <w:between w:val="nil"/>
        </w:pBdr>
        <w:spacing w:after="200"/>
        <w:rPr>
          <w:i/>
          <w:color w:val="0C0C0C"/>
          <w:sz w:val="20"/>
          <w:szCs w:val="20"/>
        </w:rPr>
      </w:pPr>
    </w:p>
    <w:p w14:paraId="5307F21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To be clear </w:t>
      </w:r>
      <w:proofErr w:type="gramStart"/>
      <w:r>
        <w:rPr>
          <w:rFonts w:ascii="Trebuchet MS" w:eastAsia="Trebuchet MS" w:hAnsi="Trebuchet MS" w:cs="Trebuchet MS"/>
          <w:color w:val="000000"/>
          <w:sz w:val="20"/>
          <w:szCs w:val="20"/>
        </w:rPr>
        <w:t>on the basis of</w:t>
      </w:r>
      <w:proofErr w:type="gramEnd"/>
      <w:r>
        <w:rPr>
          <w:rFonts w:ascii="Trebuchet MS" w:eastAsia="Trebuchet MS" w:hAnsi="Trebuchet MS" w:cs="Trebuchet MS"/>
          <w:color w:val="000000"/>
          <w:sz w:val="20"/>
          <w:szCs w:val="20"/>
        </w:rPr>
        <w:t xml:space="preserve"> Actionable measures, the following table explains the connection of objectives between the objectives Danube Wood(s) project, the Danube Wood(s) Route Strategy, and the RAP. The RAP Key Focus Areas </w:t>
      </w:r>
      <w:proofErr w:type="gramStart"/>
      <w:r>
        <w:rPr>
          <w:rFonts w:ascii="Trebuchet MS" w:eastAsia="Trebuchet MS" w:hAnsi="Trebuchet MS" w:cs="Trebuchet MS"/>
          <w:color w:val="000000"/>
          <w:sz w:val="20"/>
          <w:szCs w:val="20"/>
        </w:rPr>
        <w:t>have to</w:t>
      </w:r>
      <w:proofErr w:type="gramEnd"/>
      <w:r>
        <w:rPr>
          <w:rFonts w:ascii="Trebuchet MS" w:eastAsia="Trebuchet MS" w:hAnsi="Trebuchet MS" w:cs="Trebuchet MS"/>
          <w:color w:val="000000"/>
          <w:sz w:val="20"/>
          <w:szCs w:val="20"/>
        </w:rPr>
        <w:t xml:space="preserve"> be in line with Strategic Actions and Objectives. Actionable measures are grouped under the RAP Key Focus Areas.</w:t>
      </w:r>
    </w:p>
    <w:p w14:paraId="72DE7C5F"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Original Key Focus Areas:</w:t>
      </w:r>
    </w:p>
    <w:p w14:paraId="5C562E90" w14:textId="77777777" w:rsidR="00E24EC1" w:rsidRDefault="00000000">
      <w:pPr>
        <w:numPr>
          <w:ilvl w:val="0"/>
          <w:numId w:val="2"/>
        </w:numPr>
        <w:pBdr>
          <w:top w:val="nil"/>
          <w:left w:val="nil"/>
          <w:bottom w:val="nil"/>
          <w:right w:val="nil"/>
          <w:between w:val="nil"/>
        </w:pBdr>
        <w:jc w:val="both"/>
        <w:rPr>
          <w:sz w:val="20"/>
          <w:szCs w:val="20"/>
        </w:rPr>
      </w:pPr>
      <w:r>
        <w:rPr>
          <w:rFonts w:ascii="Trebuchet MS" w:eastAsia="Trebuchet MS" w:hAnsi="Trebuchet MS" w:cs="Trebuchet MS"/>
          <w:color w:val="000000"/>
          <w:sz w:val="20"/>
          <w:szCs w:val="20"/>
        </w:rPr>
        <w:t xml:space="preserve">Preservation and Conservation </w:t>
      </w:r>
      <w:proofErr w:type="gramStart"/>
      <w:r>
        <w:rPr>
          <w:rFonts w:ascii="Trebuchet MS" w:eastAsia="Trebuchet MS" w:hAnsi="Trebuchet MS" w:cs="Trebuchet MS"/>
          <w:color w:val="000000"/>
          <w:sz w:val="20"/>
          <w:szCs w:val="20"/>
        </w:rPr>
        <w:t xml:space="preserve">Initiatives </w:t>
      </w:r>
      <w:r>
        <w:rPr>
          <w:rFonts w:ascii="Calibri" w:eastAsia="Calibri" w:hAnsi="Calibri" w:cs="Calibri"/>
          <w:color w:val="000000"/>
          <w:sz w:val="20"/>
          <w:szCs w:val="20"/>
        </w:rPr>
        <w:t>ꟷ</w:t>
      </w:r>
      <w:r>
        <w:rPr>
          <w:rFonts w:ascii="Trebuchet MS" w:eastAsia="Trebuchet MS" w:hAnsi="Trebuchet MS" w:cs="Trebuchet MS"/>
          <w:color w:val="000000"/>
          <w:sz w:val="20"/>
          <w:szCs w:val="20"/>
        </w:rPr>
        <w:t xml:space="preserve"> Actions</w:t>
      </w:r>
      <w:proofErr w:type="gramEnd"/>
      <w:r>
        <w:rPr>
          <w:rFonts w:ascii="Trebuchet MS" w:eastAsia="Trebuchet MS" w:hAnsi="Trebuchet MS" w:cs="Trebuchet MS"/>
          <w:color w:val="000000"/>
          <w:sz w:val="20"/>
          <w:szCs w:val="20"/>
        </w:rPr>
        <w:t xml:space="preserve"> to conserve forest areas and wood-based cultural heritage, like habitat restoration, reforestation, and the promotion of traditional woodcrafts.</w:t>
      </w:r>
    </w:p>
    <w:p w14:paraId="7145336F" w14:textId="77777777" w:rsidR="00E24EC1" w:rsidRDefault="00000000">
      <w:pPr>
        <w:numPr>
          <w:ilvl w:val="0"/>
          <w:numId w:val="2"/>
        </w:numPr>
        <w:pBdr>
          <w:top w:val="nil"/>
          <w:left w:val="nil"/>
          <w:bottom w:val="nil"/>
          <w:right w:val="nil"/>
          <w:between w:val="nil"/>
        </w:pBdr>
        <w:jc w:val="both"/>
        <w:rPr>
          <w:sz w:val="20"/>
          <w:szCs w:val="20"/>
        </w:rPr>
      </w:pPr>
      <w:r>
        <w:rPr>
          <w:rFonts w:ascii="Trebuchet MS" w:eastAsia="Trebuchet MS" w:hAnsi="Trebuchet MS" w:cs="Trebuchet MS"/>
          <w:color w:val="000000"/>
          <w:sz w:val="20"/>
          <w:szCs w:val="20"/>
        </w:rPr>
        <w:t xml:space="preserve">Economic and Tourism </w:t>
      </w:r>
      <w:proofErr w:type="gramStart"/>
      <w:r>
        <w:rPr>
          <w:rFonts w:ascii="Trebuchet MS" w:eastAsia="Trebuchet MS" w:hAnsi="Trebuchet MS" w:cs="Trebuchet MS"/>
          <w:color w:val="000000"/>
          <w:sz w:val="20"/>
          <w:szCs w:val="20"/>
        </w:rPr>
        <w:t xml:space="preserve">Development </w:t>
      </w:r>
      <w:r>
        <w:rPr>
          <w:rFonts w:ascii="Calibri" w:eastAsia="Calibri" w:hAnsi="Calibri" w:cs="Calibri"/>
          <w:color w:val="000000"/>
          <w:sz w:val="20"/>
          <w:szCs w:val="20"/>
        </w:rPr>
        <w:t>ꟷ</w:t>
      </w:r>
      <w:r>
        <w:rPr>
          <w:rFonts w:ascii="Trebuchet MS" w:eastAsia="Trebuchet MS" w:hAnsi="Trebuchet MS" w:cs="Trebuchet MS"/>
          <w:color w:val="000000"/>
          <w:sz w:val="20"/>
          <w:szCs w:val="20"/>
        </w:rPr>
        <w:t xml:space="preserve"> Building</w:t>
      </w:r>
      <w:proofErr w:type="gramEnd"/>
      <w:r>
        <w:rPr>
          <w:rFonts w:ascii="Trebuchet MS" w:eastAsia="Trebuchet MS" w:hAnsi="Trebuchet MS" w:cs="Trebuchet MS"/>
          <w:color w:val="000000"/>
          <w:sz w:val="20"/>
          <w:szCs w:val="20"/>
        </w:rPr>
        <w:t xml:space="preserve"> an infrastructure to support tourism products that promote cultural and natural assets related to wood, including workshops, cultural routes, and eco-tourism initiatives.</w:t>
      </w:r>
    </w:p>
    <w:p w14:paraId="06D32376" w14:textId="77777777" w:rsidR="00E24EC1" w:rsidRDefault="00000000">
      <w:pPr>
        <w:numPr>
          <w:ilvl w:val="0"/>
          <w:numId w:val="2"/>
        </w:numPr>
        <w:pBdr>
          <w:top w:val="nil"/>
          <w:left w:val="nil"/>
          <w:bottom w:val="nil"/>
          <w:right w:val="nil"/>
          <w:between w:val="nil"/>
        </w:pBdr>
        <w:jc w:val="both"/>
        <w:rPr>
          <w:sz w:val="20"/>
          <w:szCs w:val="20"/>
        </w:rPr>
      </w:pPr>
      <w:r>
        <w:rPr>
          <w:rFonts w:ascii="Trebuchet MS" w:eastAsia="Trebuchet MS" w:hAnsi="Trebuchet MS" w:cs="Trebuchet MS"/>
          <w:color w:val="000000"/>
          <w:sz w:val="20"/>
          <w:szCs w:val="20"/>
        </w:rPr>
        <w:t xml:space="preserve">Educational and Awareness Campaigns </w:t>
      </w:r>
      <w:r>
        <w:rPr>
          <w:rFonts w:ascii="Calibri" w:eastAsia="Calibri" w:hAnsi="Calibri" w:cs="Calibri"/>
          <w:color w:val="000000"/>
          <w:sz w:val="20"/>
          <w:szCs w:val="20"/>
        </w:rPr>
        <w:t>ꟷ</w:t>
      </w:r>
      <w:r>
        <w:rPr>
          <w:rFonts w:ascii="Trebuchet MS" w:eastAsia="Trebuchet MS" w:hAnsi="Trebuchet MS" w:cs="Trebuchet MS"/>
          <w:color w:val="000000"/>
          <w:sz w:val="20"/>
          <w:szCs w:val="20"/>
        </w:rPr>
        <w:t>Increasing local and stakeholder awareness about the importance of sustainable forest management and wood-based heritage.</w:t>
      </w:r>
    </w:p>
    <w:p w14:paraId="6D041C56"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51C01178"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To clarify the strategic basis for the Actionable Measures defined in this Regional Action Plan (RAP), the following table explains the connection between the overarching objectives of the Danube Wood(s) project, the Danube Wood(s)Route Strategy, and this RAP for Montenegro. The RAP Key Focus </w:t>
      </w:r>
      <w:r>
        <w:rPr>
          <w:rFonts w:ascii="Trebuchet MS" w:eastAsia="Trebuchet MS" w:hAnsi="Trebuchet MS" w:cs="Trebuchet MS"/>
          <w:color w:val="000000"/>
          <w:sz w:val="20"/>
          <w:szCs w:val="20"/>
        </w:rPr>
        <w:lastRenderedPageBreak/>
        <w:t>Areas are in full alignment with the transnational Strategic Objectives and Strategic Actions, while being adapted to Montenegro’s specific forest-based cultural and ecological context.</w:t>
      </w:r>
    </w:p>
    <w:p w14:paraId="506AF6BE"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3288C22C" w14:textId="77777777" w:rsidR="00E24EC1" w:rsidRDefault="00000000">
      <w:pPr>
        <w:numPr>
          <w:ilvl w:val="0"/>
          <w:numId w:val="5"/>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Preservation and Conservation of Forest Landscapes and Cultural Practices – Integrated actions aimed at protecting natural forest ecosystems, traditional katun settlements, and forest-related intangible heritage, such as transhumance, vernacular wood use, and biodiversity-based practices.</w:t>
      </w:r>
    </w:p>
    <w:p w14:paraId="438DE215" w14:textId="77777777" w:rsidR="00E24EC1" w:rsidRDefault="00000000">
      <w:pPr>
        <w:numPr>
          <w:ilvl w:val="0"/>
          <w:numId w:val="5"/>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Sustainable Tourism and Community-Based </w:t>
      </w:r>
      <w:proofErr w:type="spellStart"/>
      <w:r>
        <w:rPr>
          <w:rFonts w:ascii="Trebuchet MS" w:eastAsia="Trebuchet MS" w:hAnsi="Trebuchet MS" w:cs="Trebuchet MS"/>
          <w:color w:val="000000"/>
          <w:sz w:val="20"/>
          <w:szCs w:val="20"/>
        </w:rPr>
        <w:t>Valorisation</w:t>
      </w:r>
      <w:proofErr w:type="spellEnd"/>
      <w:r>
        <w:rPr>
          <w:rFonts w:ascii="Trebuchet MS" w:eastAsia="Trebuchet MS" w:hAnsi="Trebuchet MS" w:cs="Trebuchet MS"/>
          <w:color w:val="000000"/>
          <w:sz w:val="20"/>
          <w:szCs w:val="20"/>
        </w:rPr>
        <w:t xml:space="preserve"> of Forest Heritage – Development and promotion of nature-based and culture-based tourism products that </w:t>
      </w:r>
      <w:proofErr w:type="spellStart"/>
      <w:r>
        <w:rPr>
          <w:rFonts w:ascii="Trebuchet MS" w:eastAsia="Trebuchet MS" w:hAnsi="Trebuchet MS" w:cs="Trebuchet MS"/>
          <w:color w:val="000000"/>
          <w:sz w:val="20"/>
          <w:szCs w:val="20"/>
        </w:rPr>
        <w:t>valorise</w:t>
      </w:r>
      <w:proofErr w:type="spellEnd"/>
      <w:r>
        <w:rPr>
          <w:rFonts w:ascii="Trebuchet MS" w:eastAsia="Trebuchet MS" w:hAnsi="Trebuchet MS" w:cs="Trebuchet MS"/>
          <w:color w:val="000000"/>
          <w:sz w:val="20"/>
          <w:szCs w:val="20"/>
        </w:rPr>
        <w:t xml:space="preserve"> transhumance, forest-related crafts, and local storytelling, while supporting rural livelihoods and sustainable visitor flows.</w:t>
      </w:r>
    </w:p>
    <w:p w14:paraId="35272023" w14:textId="77777777" w:rsidR="00E24EC1" w:rsidRDefault="00000000">
      <w:pPr>
        <w:numPr>
          <w:ilvl w:val="0"/>
          <w:numId w:val="5"/>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Green Economy and Innovation in Forest-Linked Rural Areas – Support for climate-resilient land management, sustainable non-timber forest product use, value-added forest-based crafts, and innovative green entrepreneurship.</w:t>
      </w:r>
    </w:p>
    <w:p w14:paraId="3908B6C2" w14:textId="77777777" w:rsidR="00E24EC1" w:rsidRDefault="00000000">
      <w:pPr>
        <w:numPr>
          <w:ilvl w:val="0"/>
          <w:numId w:val="5"/>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Education, Skills Development, and Public Awareness – Building knowledge and capacity at local and regional levels through educational programs, intergenerational learning, community events, and the promotion of forest heritage via modern and traditional media.</w:t>
      </w:r>
    </w:p>
    <w:p w14:paraId="1E57F45D"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2F465CFE"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These thematic areas allow Montenegro’s RAP to serve both the transnational goals of the Danube Wood(s)Route and the regional priorities of biodiversity protection, heritage safeguarding, and rural resilience.</w:t>
      </w:r>
    </w:p>
    <w:p w14:paraId="396A4182"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3C5FEBC6" w14:textId="77777777" w:rsidR="00E24EC1" w:rsidRDefault="00000000">
      <w:pPr>
        <w:pBdr>
          <w:top w:val="nil"/>
          <w:left w:val="nil"/>
          <w:bottom w:val="nil"/>
          <w:right w:val="nil"/>
          <w:between w:val="nil"/>
        </w:pBdr>
        <w:jc w:val="center"/>
        <w:rPr>
          <w:rFonts w:ascii="Trebuchet MS" w:eastAsia="Trebuchet MS" w:hAnsi="Trebuchet MS" w:cs="Trebuchet MS"/>
          <w:i/>
          <w:color w:val="000000"/>
          <w:sz w:val="20"/>
          <w:szCs w:val="20"/>
        </w:rPr>
      </w:pPr>
      <w:r>
        <w:rPr>
          <w:rFonts w:ascii="Trebuchet MS" w:eastAsia="Trebuchet MS" w:hAnsi="Trebuchet MS" w:cs="Trebuchet MS"/>
          <w:i/>
          <w:color w:val="0C0C0C"/>
          <w:sz w:val="20"/>
          <w:szCs w:val="20"/>
        </w:rPr>
        <w:t xml:space="preserve">2. Figure: </w:t>
      </w:r>
      <w:r>
        <w:rPr>
          <w:rFonts w:ascii="Trebuchet MS" w:eastAsia="Trebuchet MS" w:hAnsi="Trebuchet MS" w:cs="Trebuchet MS"/>
          <w:i/>
          <w:color w:val="000000"/>
          <w:sz w:val="20"/>
          <w:szCs w:val="20"/>
        </w:rPr>
        <w:t>Strategic framework of the Regional Action Plan (RAP)</w:t>
      </w:r>
    </w:p>
    <w:tbl>
      <w:tblPr>
        <w:tblStyle w:val="ae"/>
        <w:tblW w:w="95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4410"/>
        <w:gridCol w:w="2520"/>
      </w:tblGrid>
      <w:tr w:rsidR="00E24EC1" w14:paraId="4EF3969A" w14:textId="77777777">
        <w:tc>
          <w:tcPr>
            <w:tcW w:w="2610" w:type="dxa"/>
          </w:tcPr>
          <w:p w14:paraId="46E4D2B6" w14:textId="77777777" w:rsidR="00E24EC1" w:rsidRDefault="00000000">
            <w:pPr>
              <w:widowControl w:val="0"/>
              <w:pBdr>
                <w:top w:val="nil"/>
                <w:left w:val="nil"/>
                <w:bottom w:val="nil"/>
                <w:right w:val="nil"/>
                <w:between w:val="nil"/>
              </w:pBdr>
              <w:rPr>
                <w:b/>
                <w:color w:val="000000"/>
                <w:sz w:val="20"/>
                <w:szCs w:val="20"/>
              </w:rPr>
            </w:pPr>
            <w:r>
              <w:rPr>
                <w:b/>
                <w:color w:val="000000"/>
                <w:sz w:val="20"/>
                <w:szCs w:val="20"/>
              </w:rPr>
              <w:t>Strategic Objectives (project and strategic objectives)</w:t>
            </w:r>
          </w:p>
        </w:tc>
        <w:tc>
          <w:tcPr>
            <w:tcW w:w="4410" w:type="dxa"/>
            <w:shd w:val="clear" w:color="auto" w:fill="8AA2AC"/>
          </w:tcPr>
          <w:p w14:paraId="53746A68" w14:textId="77777777" w:rsidR="00E24EC1" w:rsidRDefault="00000000">
            <w:pPr>
              <w:widowControl w:val="0"/>
              <w:pBdr>
                <w:top w:val="nil"/>
                <w:left w:val="nil"/>
                <w:bottom w:val="nil"/>
                <w:right w:val="nil"/>
                <w:between w:val="nil"/>
              </w:pBdr>
              <w:jc w:val="center"/>
              <w:rPr>
                <w:b/>
                <w:color w:val="FFFFFF"/>
                <w:sz w:val="20"/>
                <w:szCs w:val="20"/>
              </w:rPr>
            </w:pPr>
            <w:r>
              <w:rPr>
                <w:b/>
                <w:color w:val="FFFFFF"/>
                <w:sz w:val="20"/>
                <w:szCs w:val="20"/>
              </w:rPr>
              <w:t>Danube Wood Cultural Route</w:t>
            </w:r>
          </w:p>
          <w:p w14:paraId="3422ECE7" w14:textId="77777777" w:rsidR="00E24EC1" w:rsidRDefault="00000000">
            <w:pPr>
              <w:widowControl w:val="0"/>
              <w:pBdr>
                <w:top w:val="nil"/>
                <w:left w:val="nil"/>
                <w:bottom w:val="nil"/>
                <w:right w:val="nil"/>
                <w:between w:val="nil"/>
              </w:pBdr>
              <w:jc w:val="center"/>
              <w:rPr>
                <w:b/>
                <w:color w:val="FFFFFF"/>
                <w:sz w:val="20"/>
                <w:szCs w:val="20"/>
              </w:rPr>
            </w:pPr>
            <w:r>
              <w:rPr>
                <w:b/>
                <w:color w:val="FFFFFF"/>
                <w:sz w:val="20"/>
                <w:szCs w:val="20"/>
              </w:rPr>
              <w:t>Strategic Actions</w:t>
            </w:r>
          </w:p>
        </w:tc>
        <w:tc>
          <w:tcPr>
            <w:tcW w:w="2520" w:type="dxa"/>
            <w:shd w:val="clear" w:color="auto" w:fill="C9F8F3"/>
          </w:tcPr>
          <w:p w14:paraId="3AE71A95" w14:textId="77777777" w:rsidR="00E24EC1" w:rsidRDefault="00000000">
            <w:pPr>
              <w:widowControl w:val="0"/>
              <w:pBdr>
                <w:top w:val="nil"/>
                <w:left w:val="nil"/>
                <w:bottom w:val="nil"/>
                <w:right w:val="nil"/>
                <w:between w:val="nil"/>
              </w:pBdr>
              <w:jc w:val="center"/>
              <w:rPr>
                <w:b/>
                <w:color w:val="FFFFFF"/>
                <w:sz w:val="20"/>
                <w:szCs w:val="20"/>
              </w:rPr>
            </w:pPr>
            <w:r>
              <w:rPr>
                <w:b/>
                <w:color w:val="000000"/>
                <w:sz w:val="20"/>
                <w:szCs w:val="20"/>
              </w:rPr>
              <w:t>RAP Key Focus Area</w:t>
            </w:r>
          </w:p>
        </w:tc>
      </w:tr>
      <w:tr w:rsidR="00E24EC1" w14:paraId="0FA2655D" w14:textId="77777777">
        <w:tc>
          <w:tcPr>
            <w:tcW w:w="2610" w:type="dxa"/>
          </w:tcPr>
          <w:p w14:paraId="71E56EEE"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Key Territorial Need: </w:t>
            </w:r>
            <w:proofErr w:type="spellStart"/>
            <w:r>
              <w:rPr>
                <w:rFonts w:ascii="Trebuchet MS" w:eastAsia="Trebuchet MS" w:hAnsi="Trebuchet MS" w:cs="Trebuchet MS"/>
                <w:color w:val="000000"/>
                <w:sz w:val="20"/>
                <w:szCs w:val="20"/>
              </w:rPr>
              <w:t>Valorising</w:t>
            </w:r>
            <w:proofErr w:type="spellEnd"/>
            <w:r>
              <w:rPr>
                <w:rFonts w:ascii="Trebuchet MS" w:eastAsia="Trebuchet MS" w:hAnsi="Trebuchet MS" w:cs="Trebuchet MS"/>
                <w:color w:val="000000"/>
                <w:sz w:val="20"/>
                <w:szCs w:val="20"/>
              </w:rPr>
              <w:t xml:space="preserve"> cultural heritage related to wood through stakeholder engagement and knowledge-sharing.</w:t>
            </w:r>
            <w:r>
              <w:rPr>
                <w:rFonts w:ascii="Trebuchet MS" w:eastAsia="Trebuchet MS" w:hAnsi="Trebuchet MS" w:cs="Trebuchet MS"/>
                <w:b/>
                <w:color w:val="000000"/>
                <w:sz w:val="20"/>
                <w:szCs w:val="20"/>
              </w:rPr>
              <w:br/>
              <w:t xml:space="preserve">Danube Wood Cultural Route Strategy Objective: </w:t>
            </w:r>
            <w:r>
              <w:rPr>
                <w:rFonts w:ascii="Trebuchet MS" w:eastAsia="Trebuchet MS" w:hAnsi="Trebuchet MS" w:cs="Trebuchet MS"/>
                <w:color w:val="000000"/>
                <w:sz w:val="20"/>
                <w:szCs w:val="20"/>
              </w:rPr>
              <w:t>Preserve and/or restore biodiversity and natural resources.</w:t>
            </w:r>
          </w:p>
        </w:tc>
        <w:tc>
          <w:tcPr>
            <w:tcW w:w="4410" w:type="dxa"/>
            <w:shd w:val="clear" w:color="auto" w:fill="8AA2AC"/>
          </w:tcPr>
          <w:p w14:paraId="09DD8A43" w14:textId="77777777" w:rsidR="00E24EC1" w:rsidRDefault="00000000">
            <w:pPr>
              <w:widowControl w:val="0"/>
              <w:tabs>
                <w:tab w:val="left" w:pos="1320"/>
                <w:tab w:val="center" w:pos="2277"/>
              </w:tabs>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 xml:space="preserve">      1.Monitor Biodiversity</w:t>
            </w:r>
          </w:p>
          <w:p w14:paraId="130DF21A" w14:textId="77777777" w:rsidR="00E24EC1" w:rsidRDefault="00000000">
            <w:pPr>
              <w:widowControl w:val="0"/>
              <w:tabs>
                <w:tab w:val="left" w:pos="852"/>
                <w:tab w:val="left" w:pos="888"/>
                <w:tab w:val="center" w:pos="2277"/>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2.Strengthen forest governance</w:t>
            </w:r>
            <w:r>
              <w:rPr>
                <w:rFonts w:ascii="Trebuchet MS" w:eastAsia="Trebuchet MS" w:hAnsi="Trebuchet MS" w:cs="Trebuchet MS"/>
                <w:color w:val="FFFFFF"/>
                <w:sz w:val="20"/>
                <w:szCs w:val="20"/>
              </w:rPr>
              <w:br/>
              <w:t>3. Promote sustainable forestry practices.</w:t>
            </w:r>
            <w:r>
              <w:rPr>
                <w:rFonts w:ascii="Trebuchet MS" w:eastAsia="Trebuchet MS" w:hAnsi="Trebuchet MS" w:cs="Trebuchet MS"/>
                <w:color w:val="FFFFFF"/>
                <w:sz w:val="20"/>
                <w:szCs w:val="20"/>
              </w:rPr>
              <w:br/>
              <w:t>4. Foster cross border collaboration.</w:t>
            </w:r>
          </w:p>
          <w:p w14:paraId="190D870B"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5.Actions for the restoration of biodiversity and natural resources.</w:t>
            </w:r>
          </w:p>
          <w:p w14:paraId="3702824B"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6.Financial framework for assuring biodiversity payments</w:t>
            </w:r>
          </w:p>
        </w:tc>
        <w:tc>
          <w:tcPr>
            <w:tcW w:w="2520" w:type="dxa"/>
            <w:shd w:val="clear" w:color="auto" w:fill="C9F8F3"/>
          </w:tcPr>
          <w:p w14:paraId="764D5427"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Preservation and Conservation of Forest Landscapes and Cultural Practices</w:t>
            </w:r>
          </w:p>
        </w:tc>
      </w:tr>
      <w:tr w:rsidR="00E24EC1" w14:paraId="279FF05F" w14:textId="77777777">
        <w:tc>
          <w:tcPr>
            <w:tcW w:w="2610" w:type="dxa"/>
          </w:tcPr>
          <w:p w14:paraId="64176ABD"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Key Territorial Need: </w:t>
            </w:r>
            <w:r>
              <w:rPr>
                <w:rFonts w:ascii="Trebuchet MS" w:eastAsia="Trebuchet MS" w:hAnsi="Trebuchet MS" w:cs="Trebuchet MS"/>
                <w:color w:val="000000"/>
                <w:sz w:val="20"/>
                <w:szCs w:val="20"/>
              </w:rPr>
              <w:t>Supporting rural economies through forest-linked tourism and local product development.</w:t>
            </w:r>
            <w:r>
              <w:rPr>
                <w:rFonts w:ascii="Trebuchet MS" w:eastAsia="Trebuchet MS" w:hAnsi="Trebuchet MS" w:cs="Trebuchet MS"/>
                <w:color w:val="000000"/>
                <w:sz w:val="20"/>
                <w:szCs w:val="20"/>
              </w:rPr>
              <w:br/>
            </w:r>
            <w:r>
              <w:rPr>
                <w:rFonts w:ascii="Trebuchet MS" w:eastAsia="Trebuchet MS" w:hAnsi="Trebuchet MS" w:cs="Trebuchet MS"/>
                <w:b/>
                <w:color w:val="000000"/>
                <w:sz w:val="20"/>
                <w:szCs w:val="20"/>
              </w:rPr>
              <w:t xml:space="preserve">Danube Wood Cultural Route Strategy Objective: </w:t>
            </w:r>
            <w:r>
              <w:rPr>
                <w:rFonts w:ascii="Trebuchet MS" w:eastAsia="Trebuchet MS" w:hAnsi="Trebuchet MS" w:cs="Trebuchet MS"/>
                <w:color w:val="000000"/>
                <w:sz w:val="20"/>
                <w:szCs w:val="20"/>
              </w:rPr>
              <w:t xml:space="preserve">Develop a sustainable forest-based economy and </w:t>
            </w:r>
            <w:proofErr w:type="gramStart"/>
            <w:r>
              <w:rPr>
                <w:rFonts w:ascii="Trebuchet MS" w:eastAsia="Trebuchet MS" w:hAnsi="Trebuchet MS" w:cs="Trebuchet MS"/>
                <w:color w:val="000000"/>
                <w:sz w:val="20"/>
                <w:szCs w:val="20"/>
              </w:rPr>
              <w:t>Valorize</w:t>
            </w:r>
            <w:proofErr w:type="gramEnd"/>
            <w:r>
              <w:rPr>
                <w:rFonts w:ascii="Trebuchet MS" w:eastAsia="Trebuchet MS" w:hAnsi="Trebuchet MS" w:cs="Trebuchet MS"/>
                <w:color w:val="000000"/>
                <w:sz w:val="20"/>
                <w:szCs w:val="20"/>
              </w:rPr>
              <w:t xml:space="preserve"> cultural heritage related to wood</w:t>
            </w:r>
          </w:p>
        </w:tc>
        <w:tc>
          <w:tcPr>
            <w:tcW w:w="4410" w:type="dxa"/>
            <w:shd w:val="clear" w:color="auto" w:fill="8AA2AC"/>
          </w:tcPr>
          <w:p w14:paraId="7166B936" w14:textId="77777777" w:rsidR="00E24EC1" w:rsidRDefault="00E24EC1">
            <w:pPr>
              <w:widowControl w:val="0"/>
              <w:pBdr>
                <w:bottom w:val="single" w:sz="4" w:space="1" w:color="000000"/>
              </w:pBdr>
              <w:tabs>
                <w:tab w:val="left" w:pos="618"/>
              </w:tabs>
              <w:ind w:left="360"/>
              <w:rPr>
                <w:rFonts w:ascii="Trebuchet MS" w:eastAsia="Trebuchet MS" w:hAnsi="Trebuchet MS" w:cs="Trebuchet MS"/>
                <w:color w:val="FFFFFF"/>
                <w:sz w:val="20"/>
                <w:szCs w:val="20"/>
              </w:rPr>
            </w:pPr>
          </w:p>
          <w:p w14:paraId="0CDC43AF" w14:textId="77777777" w:rsidR="00E24EC1" w:rsidRDefault="00000000">
            <w:pPr>
              <w:widowControl w:val="0"/>
              <w:pBdr>
                <w:bottom w:val="single" w:sz="4" w:space="1" w:color="000000"/>
              </w:pBdr>
              <w:tabs>
                <w:tab w:val="left" w:pos="618"/>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7.Enhancing and accessibility to forest resources.</w:t>
            </w:r>
            <w:r>
              <w:rPr>
                <w:rFonts w:ascii="Trebuchet MS" w:eastAsia="Trebuchet MS" w:hAnsi="Trebuchet MS" w:cs="Trebuchet MS"/>
                <w:color w:val="FFFFFF"/>
                <w:sz w:val="20"/>
                <w:szCs w:val="20"/>
              </w:rPr>
              <w:br/>
              <w:t>8. Enhance market access for regional timer products.</w:t>
            </w:r>
            <w:r>
              <w:rPr>
                <w:rFonts w:ascii="Trebuchet MS" w:eastAsia="Trebuchet MS" w:hAnsi="Trebuchet MS" w:cs="Trebuchet MS"/>
                <w:color w:val="FFFFFF"/>
                <w:sz w:val="20"/>
                <w:szCs w:val="20"/>
              </w:rPr>
              <w:br/>
              <w:t xml:space="preserve">9. </w:t>
            </w:r>
            <w:proofErr w:type="spellStart"/>
            <w:r>
              <w:rPr>
                <w:rFonts w:ascii="Trebuchet MS" w:eastAsia="Trebuchet MS" w:hAnsi="Trebuchet MS" w:cs="Trebuchet MS"/>
                <w:color w:val="FFFFFF"/>
                <w:sz w:val="20"/>
                <w:szCs w:val="20"/>
              </w:rPr>
              <w:t>Valorisation</w:t>
            </w:r>
            <w:proofErr w:type="spellEnd"/>
            <w:r>
              <w:rPr>
                <w:rFonts w:ascii="Trebuchet MS" w:eastAsia="Trebuchet MS" w:hAnsi="Trebuchet MS" w:cs="Trebuchet MS"/>
                <w:color w:val="FFFFFF"/>
                <w:sz w:val="20"/>
                <w:szCs w:val="20"/>
              </w:rPr>
              <w:t xml:space="preserve"> of forest products and services other than timber.</w:t>
            </w:r>
            <w:r>
              <w:rPr>
                <w:rFonts w:ascii="Trebuchet MS" w:eastAsia="Trebuchet MS" w:hAnsi="Trebuchet MS" w:cs="Trebuchet MS"/>
                <w:color w:val="FFFFFF"/>
                <w:sz w:val="20"/>
                <w:szCs w:val="20"/>
              </w:rPr>
              <w:br/>
              <w:t>10. Encourage local entrepreneurship.</w:t>
            </w:r>
          </w:p>
          <w:p w14:paraId="791D35CF" w14:textId="77777777" w:rsidR="00E24EC1" w:rsidRDefault="00000000">
            <w:pPr>
              <w:widowControl w:val="0"/>
              <w:pBdr>
                <w:bottom w:val="single" w:sz="4" w:space="1" w:color="000000"/>
              </w:pBdr>
              <w:tabs>
                <w:tab w:val="left" w:pos="618"/>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11.</w:t>
            </w:r>
            <w:proofErr w:type="gramStart"/>
            <w:r>
              <w:rPr>
                <w:rFonts w:ascii="Trebuchet MS" w:eastAsia="Trebuchet MS" w:hAnsi="Trebuchet MS" w:cs="Trebuchet MS"/>
                <w:color w:val="FFFFFF"/>
                <w:sz w:val="20"/>
                <w:szCs w:val="20"/>
              </w:rPr>
              <w:t>Fosterinnovation:Invest</w:t>
            </w:r>
            <w:proofErr w:type="gramEnd"/>
            <w:r>
              <w:rPr>
                <w:rFonts w:ascii="Trebuchet MS" w:eastAsia="Trebuchet MS" w:hAnsi="Trebuchet MS" w:cs="Trebuchet MS"/>
                <w:color w:val="FFFFFF"/>
                <w:sz w:val="20"/>
                <w:szCs w:val="20"/>
              </w:rPr>
              <w:t xml:space="preserve"> in research and development for innovative wood-based bio-economy solutions.</w:t>
            </w:r>
          </w:p>
          <w:p w14:paraId="70A650F7" w14:textId="77777777" w:rsidR="00E24EC1" w:rsidRDefault="00000000">
            <w:pPr>
              <w:widowControl w:val="0"/>
              <w:pBdr>
                <w:bottom w:val="single" w:sz="4" w:space="1" w:color="000000"/>
              </w:pBdr>
              <w:tabs>
                <w:tab w:val="left" w:pos="618"/>
                <w:tab w:val="center" w:pos="2277"/>
                <w:tab w:val="center" w:pos="2337"/>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 xml:space="preserve">12.Promote traditional </w:t>
            </w:r>
            <w:proofErr w:type="spellStart"/>
            <w:r>
              <w:rPr>
                <w:rFonts w:ascii="Trebuchet MS" w:eastAsia="Trebuchet MS" w:hAnsi="Trebuchet MS" w:cs="Trebuchet MS"/>
                <w:color w:val="FFFFFF"/>
                <w:sz w:val="20"/>
                <w:szCs w:val="20"/>
              </w:rPr>
              <w:t>craftsmanshop</w:t>
            </w:r>
            <w:proofErr w:type="spellEnd"/>
          </w:p>
          <w:p w14:paraId="377CFCDB" w14:textId="77777777" w:rsidR="00E24EC1" w:rsidRDefault="00000000">
            <w:pPr>
              <w:widowControl w:val="0"/>
              <w:pBdr>
                <w:bottom w:val="single" w:sz="4" w:space="1" w:color="000000"/>
              </w:pBdr>
              <w:tabs>
                <w:tab w:val="left" w:pos="618"/>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13.Annual festival and events.</w:t>
            </w:r>
          </w:p>
          <w:p w14:paraId="50FD3167" w14:textId="77777777" w:rsidR="00E24EC1" w:rsidRDefault="00000000">
            <w:pPr>
              <w:widowControl w:val="0"/>
              <w:pBdr>
                <w:bottom w:val="single" w:sz="4" w:space="1" w:color="000000"/>
              </w:pBdr>
              <w:tabs>
                <w:tab w:val="left" w:pos="618"/>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14.Establish strong regional networks among key stakeholders.</w:t>
            </w:r>
          </w:p>
          <w:p w14:paraId="1C5D2013" w14:textId="77777777" w:rsidR="00E24EC1" w:rsidRDefault="00000000">
            <w:pPr>
              <w:widowControl w:val="0"/>
              <w:pBdr>
                <w:bottom w:val="single" w:sz="4" w:space="1" w:color="000000"/>
              </w:pBdr>
              <w:tabs>
                <w:tab w:val="left" w:pos="564"/>
                <w:tab w:val="left" w:pos="618"/>
                <w:tab w:val="left" w:pos="852"/>
                <w:tab w:val="center" w:pos="2277"/>
              </w:tabs>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15.Develop heritage centers.</w:t>
            </w:r>
          </w:p>
        </w:tc>
        <w:tc>
          <w:tcPr>
            <w:tcW w:w="2520" w:type="dxa"/>
            <w:shd w:val="clear" w:color="auto" w:fill="C9F8F3"/>
          </w:tcPr>
          <w:p w14:paraId="3BA442B5"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Sustainable Tourism and Community-Based </w:t>
            </w:r>
            <w:proofErr w:type="spellStart"/>
            <w:r>
              <w:rPr>
                <w:rFonts w:ascii="Trebuchet MS" w:eastAsia="Trebuchet MS" w:hAnsi="Trebuchet MS" w:cs="Trebuchet MS"/>
                <w:b/>
                <w:color w:val="000000"/>
                <w:sz w:val="20"/>
                <w:szCs w:val="20"/>
              </w:rPr>
              <w:t>Valorisation</w:t>
            </w:r>
            <w:proofErr w:type="spellEnd"/>
            <w:r>
              <w:rPr>
                <w:rFonts w:ascii="Trebuchet MS" w:eastAsia="Trebuchet MS" w:hAnsi="Trebuchet MS" w:cs="Trebuchet MS"/>
                <w:b/>
                <w:color w:val="000000"/>
                <w:sz w:val="20"/>
                <w:szCs w:val="20"/>
              </w:rPr>
              <w:t xml:space="preserve"> of Forest Heritage</w:t>
            </w:r>
          </w:p>
        </w:tc>
      </w:tr>
      <w:tr w:rsidR="00E24EC1" w14:paraId="4F689DB7" w14:textId="77777777">
        <w:tc>
          <w:tcPr>
            <w:tcW w:w="2610" w:type="dxa"/>
          </w:tcPr>
          <w:p w14:paraId="3DD54574"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Key Territorial Need: </w:t>
            </w:r>
            <w:r>
              <w:rPr>
                <w:rFonts w:ascii="Trebuchet MS" w:eastAsia="Trebuchet MS" w:hAnsi="Trebuchet MS" w:cs="Trebuchet MS"/>
                <w:color w:val="000000"/>
                <w:sz w:val="20"/>
                <w:szCs w:val="20"/>
              </w:rPr>
              <w:t>Promoting sustainable forest management and innovation in the forest-based economy.</w:t>
            </w:r>
            <w:r>
              <w:rPr>
                <w:rFonts w:ascii="Trebuchet MS" w:eastAsia="Trebuchet MS" w:hAnsi="Trebuchet MS" w:cs="Trebuchet MS"/>
                <w:color w:val="000000"/>
                <w:sz w:val="20"/>
                <w:szCs w:val="20"/>
              </w:rPr>
              <w:br/>
            </w:r>
            <w:r>
              <w:rPr>
                <w:rFonts w:ascii="Trebuchet MS" w:eastAsia="Trebuchet MS" w:hAnsi="Trebuchet MS" w:cs="Trebuchet MS"/>
                <w:b/>
                <w:color w:val="000000"/>
                <w:sz w:val="20"/>
                <w:szCs w:val="20"/>
              </w:rPr>
              <w:lastRenderedPageBreak/>
              <w:t xml:space="preserve">Danube Wood Cultural Route Strategy Objective: </w:t>
            </w:r>
            <w:r>
              <w:rPr>
                <w:rFonts w:ascii="Trebuchet MS" w:eastAsia="Trebuchet MS" w:hAnsi="Trebuchet MS" w:cs="Trebuchet MS"/>
                <w:color w:val="000000"/>
                <w:sz w:val="20"/>
                <w:szCs w:val="20"/>
              </w:rPr>
              <w:t>Develop sustainable tourism</w:t>
            </w:r>
          </w:p>
        </w:tc>
        <w:tc>
          <w:tcPr>
            <w:tcW w:w="4410" w:type="dxa"/>
            <w:shd w:val="clear" w:color="auto" w:fill="8AA2AC"/>
          </w:tcPr>
          <w:p w14:paraId="39D63DEB"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lastRenderedPageBreak/>
              <w:t>16.Develop cultural tourism products</w:t>
            </w:r>
          </w:p>
          <w:p w14:paraId="6B1244D9"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 xml:space="preserve">17.Create active tourism </w:t>
            </w:r>
            <w:proofErr w:type="gramStart"/>
            <w:r>
              <w:rPr>
                <w:rFonts w:ascii="Trebuchet MS" w:eastAsia="Trebuchet MS" w:hAnsi="Trebuchet MS" w:cs="Trebuchet MS"/>
                <w:color w:val="FFFFFF"/>
                <w:sz w:val="20"/>
                <w:szCs w:val="20"/>
              </w:rPr>
              <w:t>products(</w:t>
            </w:r>
            <w:proofErr w:type="gramEnd"/>
            <w:r>
              <w:rPr>
                <w:rFonts w:ascii="Trebuchet MS" w:eastAsia="Trebuchet MS" w:hAnsi="Trebuchet MS" w:cs="Trebuchet MS"/>
                <w:color w:val="FFFFFF"/>
                <w:sz w:val="20"/>
                <w:szCs w:val="20"/>
              </w:rPr>
              <w:t xml:space="preserve">hiking, </w:t>
            </w:r>
            <w:proofErr w:type="gramStart"/>
            <w:r>
              <w:rPr>
                <w:rFonts w:ascii="Trebuchet MS" w:eastAsia="Trebuchet MS" w:hAnsi="Trebuchet MS" w:cs="Trebuchet MS"/>
                <w:color w:val="FFFFFF"/>
                <w:sz w:val="20"/>
                <w:szCs w:val="20"/>
              </w:rPr>
              <w:t>biking..</w:t>
            </w:r>
            <w:proofErr w:type="gramEnd"/>
            <w:r>
              <w:rPr>
                <w:rFonts w:ascii="Trebuchet MS" w:eastAsia="Trebuchet MS" w:hAnsi="Trebuchet MS" w:cs="Trebuchet MS"/>
                <w:color w:val="FFFFFF"/>
                <w:sz w:val="20"/>
                <w:szCs w:val="20"/>
              </w:rPr>
              <w:t>)</w:t>
            </w:r>
          </w:p>
          <w:p w14:paraId="36E828ED"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18.Capacity building for tourism stakeholders</w:t>
            </w:r>
          </w:p>
          <w:p w14:paraId="0376DBC0" w14:textId="77777777" w:rsidR="00E24EC1" w:rsidRDefault="00000000">
            <w:pPr>
              <w:widowControl w:val="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lastRenderedPageBreak/>
              <w:t xml:space="preserve">      19.Infrastrcture enhancement</w:t>
            </w:r>
          </w:p>
          <w:p w14:paraId="01D90B74" w14:textId="77777777" w:rsidR="00E24EC1" w:rsidRDefault="00000000">
            <w:pPr>
              <w:widowControl w:val="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 xml:space="preserve">      20.Promotion and international visibility</w:t>
            </w:r>
          </w:p>
        </w:tc>
        <w:tc>
          <w:tcPr>
            <w:tcW w:w="2520" w:type="dxa"/>
            <w:shd w:val="clear" w:color="auto" w:fill="C9F8F3"/>
          </w:tcPr>
          <w:p w14:paraId="7E99052D"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lastRenderedPageBreak/>
              <w:t>Green Economy and Innovation in Forest-Linked Rural Areas</w:t>
            </w:r>
          </w:p>
        </w:tc>
      </w:tr>
      <w:tr w:rsidR="00E24EC1" w14:paraId="026B146C" w14:textId="77777777">
        <w:tc>
          <w:tcPr>
            <w:tcW w:w="2610" w:type="dxa"/>
          </w:tcPr>
          <w:p w14:paraId="7B774487"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Key Territorial Need: </w:t>
            </w:r>
            <w:r>
              <w:rPr>
                <w:rFonts w:ascii="Trebuchet MS" w:eastAsia="Trebuchet MS" w:hAnsi="Trebuchet MS" w:cs="Trebuchet MS"/>
                <w:color w:val="000000"/>
                <w:sz w:val="20"/>
                <w:szCs w:val="20"/>
              </w:rPr>
              <w:t>Enhancing environmental literacy and intergenerational knowledge transmission.</w:t>
            </w:r>
            <w:r>
              <w:rPr>
                <w:rFonts w:ascii="Trebuchet MS" w:eastAsia="Trebuchet MS" w:hAnsi="Trebuchet MS" w:cs="Trebuchet MS"/>
                <w:color w:val="000000"/>
                <w:sz w:val="20"/>
                <w:szCs w:val="20"/>
              </w:rPr>
              <w:br/>
            </w:r>
            <w:r>
              <w:rPr>
                <w:rFonts w:ascii="Trebuchet MS" w:eastAsia="Trebuchet MS" w:hAnsi="Trebuchet MS" w:cs="Trebuchet MS"/>
                <w:b/>
                <w:color w:val="000000"/>
                <w:sz w:val="20"/>
                <w:szCs w:val="20"/>
              </w:rPr>
              <w:t xml:space="preserve">Danube Wood Cultural Route Strategy Objective: </w:t>
            </w:r>
            <w:r>
              <w:rPr>
                <w:rFonts w:ascii="Trebuchet MS" w:eastAsia="Trebuchet MS" w:hAnsi="Trebuchet MS" w:cs="Trebuchet MS"/>
                <w:color w:val="000000"/>
                <w:sz w:val="20"/>
                <w:szCs w:val="20"/>
              </w:rPr>
              <w:t>Raise awareness and build community engagement.</w:t>
            </w:r>
          </w:p>
        </w:tc>
        <w:tc>
          <w:tcPr>
            <w:tcW w:w="4410" w:type="dxa"/>
            <w:shd w:val="clear" w:color="auto" w:fill="8AA2AC"/>
          </w:tcPr>
          <w:p w14:paraId="298CE116"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21.Educational campaigns.</w:t>
            </w:r>
          </w:p>
          <w:p w14:paraId="1CA3CE27"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22.Educational programs.</w:t>
            </w:r>
          </w:p>
          <w:p w14:paraId="53287ABE"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23.Digital awareness programs.</w:t>
            </w:r>
          </w:p>
          <w:p w14:paraId="52F9BD4A"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24.Community workshops.</w:t>
            </w:r>
          </w:p>
          <w:p w14:paraId="51DF99CC"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25.Public information platforms.</w:t>
            </w:r>
          </w:p>
          <w:p w14:paraId="0A1BFFC1" w14:textId="77777777" w:rsidR="00E24EC1" w:rsidRDefault="00000000">
            <w:pPr>
              <w:widowControl w:val="0"/>
              <w:ind w:left="360"/>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26.Stakeholders collaboration forums.</w:t>
            </w:r>
          </w:p>
        </w:tc>
        <w:tc>
          <w:tcPr>
            <w:tcW w:w="2520" w:type="dxa"/>
            <w:shd w:val="clear" w:color="auto" w:fill="C9F8F3"/>
          </w:tcPr>
          <w:p w14:paraId="6F2F3E04" w14:textId="77777777" w:rsidR="00E24EC1" w:rsidRDefault="00000000">
            <w:pPr>
              <w:widowControl w:val="0"/>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Education, Skills Development, and Public Awareness</w:t>
            </w:r>
          </w:p>
        </w:tc>
      </w:tr>
    </w:tbl>
    <w:p w14:paraId="60FB152D"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B68440E"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A079C5D"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1065601"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B1E435F"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30B79A3"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A465228"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6CAB09C"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28E60F9D"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CF1C3B1"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1ED25FC"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1D6EF5F"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2DA9B32E"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24BC7DE"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03F71E2"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D00A398"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C90FCC6"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713E09D3"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740BD1F2"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4821925"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E0B4708"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1B0C649"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5B3CA31"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D609450"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2D26AB16"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3F7E45BB"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A45EF7F"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801CFCE"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88DBE32"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0C64C06"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225F3D13"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3AB6D2E7"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2C5A8F5"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3EF8BF5"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7D8FE62"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3AA3E146"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3C0614F2"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05E4B93"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C862111"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0AF5AC6" w14:textId="77777777" w:rsidR="00E24EC1" w:rsidRDefault="00000000">
      <w:pPr>
        <w:pStyle w:val="Naslov1"/>
        <w:numPr>
          <w:ilvl w:val="0"/>
          <w:numId w:val="6"/>
        </w:numPr>
      </w:pPr>
      <w:bookmarkStart w:id="10" w:name="_heading=h.px2jxzgt69s8" w:colFirst="0" w:colLast="0"/>
      <w:bookmarkEnd w:id="10"/>
      <w:r>
        <w:lastRenderedPageBreak/>
        <w:t>Actionable measures</w:t>
      </w:r>
    </w:p>
    <w:p w14:paraId="723A3059"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following table outlines the proposed actionable measures for Montenegro under the Danube Wood(s)Route Regional Action Plan. These measures address both natural and cultural heritage, with a focus on forest preservation, sustainable tourism, traditional knowledge revitalization, and inclusive community development.</w:t>
      </w:r>
    </w:p>
    <w:p w14:paraId="3D5DBF0B"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Each measure is aligned with the strategic goals of the overall project and adapted to the specific context of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and Prokletije region.</w:t>
      </w:r>
    </w:p>
    <w:p w14:paraId="5076D473"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79C1163E" w14:textId="77777777" w:rsidR="00E24EC1" w:rsidRDefault="00000000">
      <w:pPr>
        <w:keepNext/>
        <w:pBdr>
          <w:top w:val="nil"/>
          <w:left w:val="nil"/>
          <w:bottom w:val="nil"/>
          <w:right w:val="nil"/>
          <w:between w:val="nil"/>
        </w:pBdr>
        <w:spacing w:before="240" w:after="120"/>
        <w:jc w:val="center"/>
        <w:rPr>
          <w:rFonts w:ascii="Trebuchet MS" w:eastAsia="Trebuchet MS" w:hAnsi="Trebuchet MS" w:cs="Trebuchet MS"/>
          <w:i/>
          <w:color w:val="000000"/>
          <w:sz w:val="18"/>
          <w:szCs w:val="18"/>
        </w:rPr>
      </w:pPr>
      <w:r>
        <w:rPr>
          <w:rFonts w:ascii="Trebuchet MS" w:eastAsia="Trebuchet MS" w:hAnsi="Trebuchet MS" w:cs="Trebuchet MS"/>
          <w:i/>
          <w:color w:val="000000"/>
          <w:sz w:val="18"/>
          <w:szCs w:val="18"/>
        </w:rPr>
        <w:t xml:space="preserve"> 3. Figure: Actionable Measures addressing the identified challenges</w:t>
      </w:r>
    </w:p>
    <w:tbl>
      <w:tblPr>
        <w:tblStyle w:val="af"/>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5647"/>
        <w:gridCol w:w="2790"/>
      </w:tblGrid>
      <w:tr w:rsidR="00E24EC1" w14:paraId="4F0C38D9" w14:textId="77777777">
        <w:tc>
          <w:tcPr>
            <w:tcW w:w="648" w:type="dxa"/>
            <w:shd w:val="clear" w:color="auto" w:fill="8AA2AC"/>
          </w:tcPr>
          <w:p w14:paraId="7F7F39E3"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No.</w:t>
            </w:r>
          </w:p>
        </w:tc>
        <w:tc>
          <w:tcPr>
            <w:tcW w:w="5647" w:type="dxa"/>
            <w:shd w:val="clear" w:color="auto" w:fill="8AA2AC"/>
          </w:tcPr>
          <w:p w14:paraId="4EDCB2EC" w14:textId="77777777" w:rsidR="00E24EC1" w:rsidRDefault="00000000">
            <w:pPr>
              <w:rPr>
                <w:rFonts w:ascii="Trebuchet MS" w:eastAsia="Trebuchet MS" w:hAnsi="Trebuchet MS" w:cs="Trebuchet MS"/>
                <w:b/>
                <w:sz w:val="20"/>
                <w:szCs w:val="20"/>
              </w:rPr>
            </w:pPr>
            <w:r>
              <w:rPr>
                <w:rFonts w:ascii="Trebuchet MS" w:eastAsia="Trebuchet MS" w:hAnsi="Trebuchet MS" w:cs="Trebuchet MS"/>
                <w:b/>
                <w:sz w:val="20"/>
                <w:szCs w:val="20"/>
              </w:rPr>
              <w:t>Actionable Measures</w:t>
            </w:r>
          </w:p>
        </w:tc>
        <w:tc>
          <w:tcPr>
            <w:tcW w:w="2790" w:type="dxa"/>
            <w:shd w:val="clear" w:color="auto" w:fill="C9F8F3"/>
          </w:tcPr>
          <w:p w14:paraId="03C8F283" w14:textId="77777777" w:rsidR="00E24EC1" w:rsidRDefault="00000000">
            <w:pPr>
              <w:rPr>
                <w:rFonts w:ascii="Trebuchet MS" w:eastAsia="Trebuchet MS" w:hAnsi="Trebuchet MS" w:cs="Trebuchet MS"/>
                <w:b/>
                <w:sz w:val="20"/>
                <w:szCs w:val="20"/>
              </w:rPr>
            </w:pPr>
            <w:r>
              <w:rPr>
                <w:rFonts w:ascii="Trebuchet MS" w:eastAsia="Trebuchet MS" w:hAnsi="Trebuchet MS" w:cs="Trebuchet MS"/>
                <w:b/>
                <w:sz w:val="20"/>
                <w:szCs w:val="20"/>
              </w:rPr>
              <w:t>RAP Key Focus Area</w:t>
            </w:r>
          </w:p>
        </w:tc>
      </w:tr>
      <w:tr w:rsidR="00E24EC1" w14:paraId="732DCEF3" w14:textId="77777777">
        <w:tc>
          <w:tcPr>
            <w:tcW w:w="648" w:type="dxa"/>
            <w:vMerge w:val="restart"/>
            <w:shd w:val="clear" w:color="auto" w:fill="8AA2AC"/>
          </w:tcPr>
          <w:p w14:paraId="22EDAB95"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1</w:t>
            </w:r>
          </w:p>
        </w:tc>
        <w:tc>
          <w:tcPr>
            <w:tcW w:w="5647" w:type="dxa"/>
            <w:shd w:val="clear" w:color="auto" w:fill="E8EEEF"/>
          </w:tcPr>
          <w:p w14:paraId="12DC494D"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Protection of Katuns and Forest Cultural Landscapes</w:t>
            </w:r>
          </w:p>
        </w:tc>
        <w:tc>
          <w:tcPr>
            <w:tcW w:w="2790" w:type="dxa"/>
            <w:vMerge w:val="restart"/>
            <w:shd w:val="clear" w:color="auto" w:fill="C9F8F3"/>
          </w:tcPr>
          <w:p w14:paraId="27F4BE1B"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Preservation and Conservation of Forest Landscapes and Cultural Practices</w:t>
            </w:r>
          </w:p>
        </w:tc>
      </w:tr>
      <w:tr w:rsidR="00E24EC1" w14:paraId="7E05AEC8" w14:textId="77777777">
        <w:tc>
          <w:tcPr>
            <w:tcW w:w="648" w:type="dxa"/>
            <w:vMerge/>
            <w:shd w:val="clear" w:color="auto" w:fill="8AA2AC"/>
          </w:tcPr>
          <w:p w14:paraId="3F692282"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3F5DB429"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a) Support the safeguarding and adaptive reuse of katun structures, respecting traditional wooden architecture and materials.</w:t>
            </w:r>
          </w:p>
        </w:tc>
        <w:tc>
          <w:tcPr>
            <w:tcW w:w="2790" w:type="dxa"/>
            <w:vMerge/>
            <w:shd w:val="clear" w:color="auto" w:fill="C9F8F3"/>
          </w:tcPr>
          <w:p w14:paraId="08D5680F"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2B8EFB69" w14:textId="77777777">
        <w:tc>
          <w:tcPr>
            <w:tcW w:w="648" w:type="dxa"/>
            <w:vMerge/>
            <w:shd w:val="clear" w:color="auto" w:fill="8AA2AC"/>
          </w:tcPr>
          <w:p w14:paraId="3B0F3CB9"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529947AB"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b) Engage local communities and artisans in restoration efforts, including shingles (</w:t>
            </w:r>
            <w:proofErr w:type="spellStart"/>
            <w:r>
              <w:rPr>
                <w:rFonts w:ascii="Trebuchet MS" w:eastAsia="Trebuchet MS" w:hAnsi="Trebuchet MS" w:cs="Trebuchet MS"/>
                <w:sz w:val="20"/>
                <w:szCs w:val="20"/>
              </w:rPr>
              <w:t>sindra</w:t>
            </w:r>
            <w:proofErr w:type="spellEnd"/>
            <w:r>
              <w:rPr>
                <w:rFonts w:ascii="Trebuchet MS" w:eastAsia="Trebuchet MS" w:hAnsi="Trebuchet MS" w:cs="Trebuchet MS"/>
                <w:sz w:val="20"/>
                <w:szCs w:val="20"/>
              </w:rPr>
              <w:t>) and traditional wooden tools (</w:t>
            </w:r>
            <w:proofErr w:type="spellStart"/>
            <w:r>
              <w:rPr>
                <w:rFonts w:ascii="Trebuchet MS" w:eastAsia="Trebuchet MS" w:hAnsi="Trebuchet MS" w:cs="Trebuchet MS"/>
                <w:sz w:val="20"/>
                <w:szCs w:val="20"/>
              </w:rPr>
              <w:t>karlica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kaca</w:t>
            </w:r>
            <w:proofErr w:type="spellEnd"/>
            <w:r>
              <w:rPr>
                <w:rFonts w:ascii="Trebuchet MS" w:eastAsia="Trebuchet MS" w:hAnsi="Trebuchet MS" w:cs="Trebuchet MS"/>
                <w:sz w:val="20"/>
                <w:szCs w:val="20"/>
              </w:rPr>
              <w:t>).</w:t>
            </w:r>
          </w:p>
        </w:tc>
        <w:tc>
          <w:tcPr>
            <w:tcW w:w="2790" w:type="dxa"/>
            <w:vMerge/>
            <w:shd w:val="clear" w:color="auto" w:fill="C9F8F3"/>
          </w:tcPr>
          <w:p w14:paraId="5D5F4961"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9F8E03A" w14:textId="77777777">
        <w:tc>
          <w:tcPr>
            <w:tcW w:w="648" w:type="dxa"/>
            <w:vMerge/>
            <w:shd w:val="clear" w:color="auto" w:fill="8AA2AC"/>
          </w:tcPr>
          <w:p w14:paraId="274FB79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3842405E"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c) Promote katuns as part of the living forest heritage through storytelling, interpretation, and education.</w:t>
            </w:r>
          </w:p>
        </w:tc>
        <w:tc>
          <w:tcPr>
            <w:tcW w:w="2790" w:type="dxa"/>
            <w:vMerge/>
            <w:shd w:val="clear" w:color="auto" w:fill="C9F8F3"/>
          </w:tcPr>
          <w:p w14:paraId="60AC384E"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0F5210B7" w14:textId="77777777">
        <w:tc>
          <w:tcPr>
            <w:tcW w:w="648" w:type="dxa"/>
            <w:vMerge w:val="restart"/>
            <w:shd w:val="clear" w:color="auto" w:fill="8AA2AC"/>
          </w:tcPr>
          <w:p w14:paraId="6BBEED61"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2</w:t>
            </w:r>
          </w:p>
        </w:tc>
        <w:tc>
          <w:tcPr>
            <w:tcW w:w="5647" w:type="dxa"/>
            <w:shd w:val="clear" w:color="auto" w:fill="E8EEEF"/>
          </w:tcPr>
          <w:p w14:paraId="16A59A0D"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Biodiversity and Habitat Protection in Forest-Pasture Zones</w:t>
            </w:r>
          </w:p>
        </w:tc>
        <w:tc>
          <w:tcPr>
            <w:tcW w:w="2790" w:type="dxa"/>
            <w:vMerge/>
            <w:shd w:val="clear" w:color="auto" w:fill="C9F8F3"/>
          </w:tcPr>
          <w:p w14:paraId="6A13A948"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5602E6F6" w14:textId="77777777">
        <w:tc>
          <w:tcPr>
            <w:tcW w:w="648" w:type="dxa"/>
            <w:vMerge/>
            <w:shd w:val="clear" w:color="auto" w:fill="8AA2AC"/>
          </w:tcPr>
          <w:p w14:paraId="5A5802F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7D777AD3"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d) Maintain open pastures and forest edges through seasonal grazing, preventing overgrowth and supporting rare species.</w:t>
            </w:r>
          </w:p>
        </w:tc>
        <w:tc>
          <w:tcPr>
            <w:tcW w:w="2790" w:type="dxa"/>
            <w:vMerge/>
            <w:shd w:val="clear" w:color="auto" w:fill="C9F8F3"/>
          </w:tcPr>
          <w:p w14:paraId="6BAFE577"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212E318C" w14:textId="77777777">
        <w:tc>
          <w:tcPr>
            <w:tcW w:w="648" w:type="dxa"/>
            <w:vMerge/>
            <w:shd w:val="clear" w:color="auto" w:fill="8AA2AC"/>
          </w:tcPr>
          <w:p w14:paraId="4863586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2642B2D2"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e) Support research on biodiversity linked to traditional land-use in katun systems.</w:t>
            </w:r>
          </w:p>
        </w:tc>
        <w:tc>
          <w:tcPr>
            <w:tcW w:w="2790" w:type="dxa"/>
            <w:vMerge/>
            <w:shd w:val="clear" w:color="auto" w:fill="C9F8F3"/>
          </w:tcPr>
          <w:p w14:paraId="67D2E87F"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139D2212" w14:textId="77777777">
        <w:tc>
          <w:tcPr>
            <w:tcW w:w="648" w:type="dxa"/>
            <w:vMerge/>
            <w:shd w:val="clear" w:color="auto" w:fill="8AA2AC"/>
          </w:tcPr>
          <w:p w14:paraId="042F806F"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2D5EDB1F"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f) Prevent overuse and degradation of ecologically sensitive forest-pasture mosaics.</w:t>
            </w:r>
          </w:p>
        </w:tc>
        <w:tc>
          <w:tcPr>
            <w:tcW w:w="2790" w:type="dxa"/>
            <w:vMerge/>
            <w:shd w:val="clear" w:color="auto" w:fill="C9F8F3"/>
          </w:tcPr>
          <w:p w14:paraId="2B0901F7"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3A0EC43C" w14:textId="77777777">
        <w:tc>
          <w:tcPr>
            <w:tcW w:w="648" w:type="dxa"/>
            <w:vMerge w:val="restart"/>
            <w:shd w:val="clear" w:color="auto" w:fill="8AA2AC"/>
          </w:tcPr>
          <w:p w14:paraId="0E30CF01"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3</w:t>
            </w:r>
          </w:p>
        </w:tc>
        <w:tc>
          <w:tcPr>
            <w:tcW w:w="5647" w:type="dxa"/>
            <w:shd w:val="clear" w:color="auto" w:fill="E8EEEF"/>
          </w:tcPr>
          <w:p w14:paraId="01821144"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Revitalization of Wood-Related Traditional Knowledge</w:t>
            </w:r>
          </w:p>
        </w:tc>
        <w:tc>
          <w:tcPr>
            <w:tcW w:w="2790" w:type="dxa"/>
            <w:vMerge/>
            <w:shd w:val="clear" w:color="auto" w:fill="C9F8F3"/>
          </w:tcPr>
          <w:p w14:paraId="75DCFE25"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55588194" w14:textId="77777777">
        <w:tc>
          <w:tcPr>
            <w:tcW w:w="648" w:type="dxa"/>
            <w:vMerge/>
            <w:shd w:val="clear" w:color="auto" w:fill="8AA2AC"/>
          </w:tcPr>
          <w:p w14:paraId="638AFB4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65D79A14"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g) Organize training on wood-based decorative skills, carving, symbolic motifs, and sustainable wooden crafts.</w:t>
            </w:r>
          </w:p>
        </w:tc>
        <w:tc>
          <w:tcPr>
            <w:tcW w:w="2790" w:type="dxa"/>
            <w:vMerge/>
            <w:shd w:val="clear" w:color="auto" w:fill="C9F8F3"/>
          </w:tcPr>
          <w:p w14:paraId="1B3EDAB1"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6E162D8A" w14:textId="77777777">
        <w:tc>
          <w:tcPr>
            <w:tcW w:w="648" w:type="dxa"/>
            <w:vMerge/>
            <w:shd w:val="clear" w:color="auto" w:fill="8AA2AC"/>
          </w:tcPr>
          <w:p w14:paraId="3F6FFD55"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4656754E"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h) Include women and youth in knowledge transmission processes and heritage interpretation.</w:t>
            </w:r>
          </w:p>
        </w:tc>
        <w:tc>
          <w:tcPr>
            <w:tcW w:w="2790" w:type="dxa"/>
            <w:vMerge/>
            <w:shd w:val="clear" w:color="auto" w:fill="C9F8F3"/>
          </w:tcPr>
          <w:p w14:paraId="7DDEF97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6D3DB60A" w14:textId="77777777">
        <w:tc>
          <w:tcPr>
            <w:tcW w:w="648" w:type="dxa"/>
            <w:vMerge/>
            <w:shd w:val="clear" w:color="auto" w:fill="8AA2AC"/>
          </w:tcPr>
          <w:p w14:paraId="63DDEE28"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54066B71" w14:textId="77777777" w:rsidR="00E24EC1" w:rsidRDefault="00000000">
            <w:pPr>
              <w:rPr>
                <w:rFonts w:ascii="Trebuchet MS" w:eastAsia="Trebuchet MS" w:hAnsi="Trebuchet MS" w:cs="Trebuchet MS"/>
                <w:sz w:val="20"/>
                <w:szCs w:val="20"/>
              </w:rPr>
            </w:pPr>
            <w:proofErr w:type="spellStart"/>
            <w:r>
              <w:rPr>
                <w:rFonts w:ascii="Trebuchet MS" w:eastAsia="Trebuchet MS" w:hAnsi="Trebuchet MS" w:cs="Trebuchet MS"/>
                <w:sz w:val="20"/>
                <w:szCs w:val="20"/>
              </w:rPr>
              <w:t>i</w:t>
            </w:r>
            <w:proofErr w:type="spellEnd"/>
            <w:r>
              <w:rPr>
                <w:rFonts w:ascii="Trebuchet MS" w:eastAsia="Trebuchet MS" w:hAnsi="Trebuchet MS" w:cs="Trebuchet MS"/>
                <w:sz w:val="20"/>
                <w:szCs w:val="20"/>
              </w:rPr>
              <w:t>) Develop wood heritage-related souvenirs and products linked to local identity and markets.</w:t>
            </w:r>
          </w:p>
        </w:tc>
        <w:tc>
          <w:tcPr>
            <w:tcW w:w="2790" w:type="dxa"/>
            <w:vMerge/>
            <w:shd w:val="clear" w:color="auto" w:fill="C9F8F3"/>
          </w:tcPr>
          <w:p w14:paraId="1554B202"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76EEFB52" w14:textId="77777777">
        <w:tc>
          <w:tcPr>
            <w:tcW w:w="648" w:type="dxa"/>
            <w:vMerge w:val="restart"/>
            <w:shd w:val="clear" w:color="auto" w:fill="8AA2AC"/>
          </w:tcPr>
          <w:p w14:paraId="737D8A20"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4</w:t>
            </w:r>
          </w:p>
        </w:tc>
        <w:tc>
          <w:tcPr>
            <w:tcW w:w="5647" w:type="dxa"/>
            <w:shd w:val="clear" w:color="auto" w:fill="E8EEEF"/>
          </w:tcPr>
          <w:p w14:paraId="3228EE6E"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Nature-Based and Cultural Tourism Development</w:t>
            </w:r>
          </w:p>
        </w:tc>
        <w:tc>
          <w:tcPr>
            <w:tcW w:w="2790" w:type="dxa"/>
            <w:vMerge w:val="restart"/>
            <w:shd w:val="clear" w:color="auto" w:fill="C9F8F3"/>
          </w:tcPr>
          <w:p w14:paraId="674FAEBA"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 xml:space="preserve">Sustainable Tourism and Community-Based </w:t>
            </w:r>
            <w:proofErr w:type="spellStart"/>
            <w:r>
              <w:rPr>
                <w:rFonts w:ascii="Trebuchet MS" w:eastAsia="Trebuchet MS" w:hAnsi="Trebuchet MS" w:cs="Trebuchet MS"/>
                <w:sz w:val="20"/>
                <w:szCs w:val="20"/>
              </w:rPr>
              <w:t>Valorisation</w:t>
            </w:r>
            <w:proofErr w:type="spellEnd"/>
            <w:r>
              <w:rPr>
                <w:rFonts w:ascii="Trebuchet MS" w:eastAsia="Trebuchet MS" w:hAnsi="Trebuchet MS" w:cs="Trebuchet MS"/>
                <w:sz w:val="20"/>
                <w:szCs w:val="20"/>
              </w:rPr>
              <w:t xml:space="preserve"> of Forest Heritage</w:t>
            </w:r>
          </w:p>
        </w:tc>
      </w:tr>
      <w:tr w:rsidR="00E24EC1" w14:paraId="61852FFB" w14:textId="77777777">
        <w:tc>
          <w:tcPr>
            <w:tcW w:w="648" w:type="dxa"/>
            <w:vMerge/>
            <w:shd w:val="clear" w:color="auto" w:fill="8AA2AC"/>
          </w:tcPr>
          <w:p w14:paraId="492C6C41"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4841D001"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j) Develop forest-themed cultural itineraries, including katun stays, trail interpretation, and culinary storytelling.</w:t>
            </w:r>
          </w:p>
        </w:tc>
        <w:tc>
          <w:tcPr>
            <w:tcW w:w="2790" w:type="dxa"/>
            <w:vMerge/>
            <w:shd w:val="clear" w:color="auto" w:fill="C9F8F3"/>
          </w:tcPr>
          <w:p w14:paraId="1FD5A0C4"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63986778" w14:textId="77777777">
        <w:tc>
          <w:tcPr>
            <w:tcW w:w="648" w:type="dxa"/>
            <w:vMerge/>
            <w:shd w:val="clear" w:color="auto" w:fill="8AA2AC"/>
          </w:tcPr>
          <w:p w14:paraId="4D8E938A"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71BEE96D"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k) Encourage community-based tourism packages tied to forest crafts and cultural events.</w:t>
            </w:r>
          </w:p>
        </w:tc>
        <w:tc>
          <w:tcPr>
            <w:tcW w:w="2790" w:type="dxa"/>
            <w:vMerge/>
            <w:shd w:val="clear" w:color="auto" w:fill="C9F8F3"/>
          </w:tcPr>
          <w:p w14:paraId="440DE1B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69002321" w14:textId="77777777">
        <w:tc>
          <w:tcPr>
            <w:tcW w:w="648" w:type="dxa"/>
            <w:vMerge/>
            <w:shd w:val="clear" w:color="auto" w:fill="8AA2AC"/>
          </w:tcPr>
          <w:p w14:paraId="68C63F75"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187D55AE"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l) Implement interpretative signage and storytelling stations at forest heritage locations.</w:t>
            </w:r>
          </w:p>
        </w:tc>
        <w:tc>
          <w:tcPr>
            <w:tcW w:w="2790" w:type="dxa"/>
            <w:vMerge/>
            <w:shd w:val="clear" w:color="auto" w:fill="C9F8F3"/>
          </w:tcPr>
          <w:p w14:paraId="1B4CB67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EC9EF83" w14:textId="77777777">
        <w:tc>
          <w:tcPr>
            <w:tcW w:w="648" w:type="dxa"/>
            <w:vMerge w:val="restart"/>
            <w:shd w:val="clear" w:color="auto" w:fill="8AA2AC"/>
          </w:tcPr>
          <w:p w14:paraId="4550A286"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5</w:t>
            </w:r>
          </w:p>
        </w:tc>
        <w:tc>
          <w:tcPr>
            <w:tcW w:w="5647" w:type="dxa"/>
            <w:shd w:val="clear" w:color="auto" w:fill="E8EEEF"/>
          </w:tcPr>
          <w:p w14:paraId="4177B9FC"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Infrastructure and Interpretation for Forest Heritage</w:t>
            </w:r>
          </w:p>
        </w:tc>
        <w:tc>
          <w:tcPr>
            <w:tcW w:w="2790" w:type="dxa"/>
            <w:vMerge/>
            <w:shd w:val="clear" w:color="auto" w:fill="C9F8F3"/>
          </w:tcPr>
          <w:p w14:paraId="2926C114"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6D10F45" w14:textId="77777777">
        <w:tc>
          <w:tcPr>
            <w:tcW w:w="648" w:type="dxa"/>
            <w:vMerge/>
            <w:shd w:val="clear" w:color="auto" w:fill="8AA2AC"/>
          </w:tcPr>
          <w:p w14:paraId="33F646D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0A0950B3"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m) Invest in minimal-impact visitor infrastructure (info points, rest stops, water sources) along forest routes.</w:t>
            </w:r>
          </w:p>
        </w:tc>
        <w:tc>
          <w:tcPr>
            <w:tcW w:w="2790" w:type="dxa"/>
            <w:vMerge/>
            <w:shd w:val="clear" w:color="auto" w:fill="C9F8F3"/>
          </w:tcPr>
          <w:p w14:paraId="22699049"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57295532" w14:textId="77777777">
        <w:tc>
          <w:tcPr>
            <w:tcW w:w="648" w:type="dxa"/>
            <w:vMerge/>
            <w:shd w:val="clear" w:color="auto" w:fill="8AA2AC"/>
          </w:tcPr>
          <w:p w14:paraId="5D43A03C"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0666F34B"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n) Encourage sustainable mobility options (e-bikes, trails) in mountain areas.</w:t>
            </w:r>
          </w:p>
        </w:tc>
        <w:tc>
          <w:tcPr>
            <w:tcW w:w="2790" w:type="dxa"/>
            <w:vMerge/>
            <w:shd w:val="clear" w:color="auto" w:fill="C9F8F3"/>
          </w:tcPr>
          <w:p w14:paraId="3690416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1E111E35" w14:textId="77777777">
        <w:tc>
          <w:tcPr>
            <w:tcW w:w="648" w:type="dxa"/>
            <w:vMerge/>
            <w:shd w:val="clear" w:color="auto" w:fill="8AA2AC"/>
          </w:tcPr>
          <w:p w14:paraId="67B63E05"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5576445F"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o) Create micro-museums or exhibits in refurbished katun huts or local schools.</w:t>
            </w:r>
          </w:p>
        </w:tc>
        <w:tc>
          <w:tcPr>
            <w:tcW w:w="2790" w:type="dxa"/>
            <w:vMerge/>
            <w:shd w:val="clear" w:color="auto" w:fill="C9F8F3"/>
          </w:tcPr>
          <w:p w14:paraId="3529C256"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66146B55" w14:textId="77777777">
        <w:tc>
          <w:tcPr>
            <w:tcW w:w="648" w:type="dxa"/>
            <w:vMerge w:val="restart"/>
            <w:shd w:val="clear" w:color="auto" w:fill="8AA2AC"/>
          </w:tcPr>
          <w:p w14:paraId="11C09D3D"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6</w:t>
            </w:r>
          </w:p>
        </w:tc>
        <w:tc>
          <w:tcPr>
            <w:tcW w:w="5647" w:type="dxa"/>
            <w:shd w:val="clear" w:color="auto" w:fill="E8EEEF"/>
          </w:tcPr>
          <w:p w14:paraId="255CF9AA"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Forest-Based Economy and Innovation</w:t>
            </w:r>
          </w:p>
        </w:tc>
        <w:tc>
          <w:tcPr>
            <w:tcW w:w="2790" w:type="dxa"/>
            <w:vMerge w:val="restart"/>
            <w:shd w:val="clear" w:color="auto" w:fill="C9F8F3"/>
          </w:tcPr>
          <w:p w14:paraId="7AE2B3B0"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Green Economy and Innovation in Forest-Linked Rural Areas</w:t>
            </w:r>
          </w:p>
        </w:tc>
      </w:tr>
      <w:tr w:rsidR="00E24EC1" w14:paraId="79776BF4" w14:textId="77777777">
        <w:tc>
          <w:tcPr>
            <w:tcW w:w="648" w:type="dxa"/>
            <w:vMerge/>
            <w:shd w:val="clear" w:color="auto" w:fill="8AA2AC"/>
          </w:tcPr>
          <w:p w14:paraId="38669A95"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534525E3"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p) Pilot innovative uses of local wood for eco-friendly construction and artisanal products.</w:t>
            </w:r>
          </w:p>
        </w:tc>
        <w:tc>
          <w:tcPr>
            <w:tcW w:w="2790" w:type="dxa"/>
            <w:vMerge/>
            <w:shd w:val="clear" w:color="auto" w:fill="C9F8F3"/>
          </w:tcPr>
          <w:p w14:paraId="1ECB548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1D153D6E" w14:textId="77777777">
        <w:tc>
          <w:tcPr>
            <w:tcW w:w="648" w:type="dxa"/>
            <w:vMerge/>
            <w:shd w:val="clear" w:color="auto" w:fill="8AA2AC"/>
          </w:tcPr>
          <w:p w14:paraId="75755B76"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3242A665"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q) Link forest product value chains with rural tourism and regional branding.</w:t>
            </w:r>
          </w:p>
        </w:tc>
        <w:tc>
          <w:tcPr>
            <w:tcW w:w="2790" w:type="dxa"/>
            <w:vMerge/>
            <w:shd w:val="clear" w:color="auto" w:fill="C9F8F3"/>
          </w:tcPr>
          <w:p w14:paraId="41F63327"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0E94A1A" w14:textId="77777777">
        <w:tc>
          <w:tcPr>
            <w:tcW w:w="648" w:type="dxa"/>
            <w:vMerge/>
            <w:shd w:val="clear" w:color="auto" w:fill="8AA2AC"/>
          </w:tcPr>
          <w:p w14:paraId="52E26BC4"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534D30FE"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r) Explore carbon-sequestration schemes through forest stewardship.</w:t>
            </w:r>
          </w:p>
        </w:tc>
        <w:tc>
          <w:tcPr>
            <w:tcW w:w="2790" w:type="dxa"/>
            <w:vMerge/>
            <w:shd w:val="clear" w:color="auto" w:fill="C9F8F3"/>
          </w:tcPr>
          <w:p w14:paraId="535D649A"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D9844C1" w14:textId="77777777">
        <w:tc>
          <w:tcPr>
            <w:tcW w:w="648" w:type="dxa"/>
            <w:vMerge w:val="restart"/>
            <w:shd w:val="clear" w:color="auto" w:fill="8AA2AC"/>
          </w:tcPr>
          <w:p w14:paraId="50CC9F56"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7</w:t>
            </w:r>
          </w:p>
        </w:tc>
        <w:tc>
          <w:tcPr>
            <w:tcW w:w="5647" w:type="dxa"/>
            <w:shd w:val="clear" w:color="auto" w:fill="E8EEEF"/>
          </w:tcPr>
          <w:p w14:paraId="5509828E"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Community Awareness and Engagement</w:t>
            </w:r>
          </w:p>
        </w:tc>
        <w:tc>
          <w:tcPr>
            <w:tcW w:w="2790" w:type="dxa"/>
            <w:vMerge w:val="restart"/>
            <w:shd w:val="clear" w:color="auto" w:fill="C9F8F3"/>
          </w:tcPr>
          <w:p w14:paraId="68E25308"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Education, Skills Development, and Public Awareness</w:t>
            </w:r>
          </w:p>
        </w:tc>
      </w:tr>
      <w:tr w:rsidR="00E24EC1" w14:paraId="56675F64" w14:textId="77777777">
        <w:tc>
          <w:tcPr>
            <w:tcW w:w="648" w:type="dxa"/>
            <w:vMerge/>
            <w:shd w:val="clear" w:color="auto" w:fill="8AA2AC"/>
          </w:tcPr>
          <w:p w14:paraId="65927AB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3F7A1605"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s) Organize seasonal fairs, events, and storytelling workshops centered around forest heritage.</w:t>
            </w:r>
          </w:p>
        </w:tc>
        <w:tc>
          <w:tcPr>
            <w:tcW w:w="2790" w:type="dxa"/>
            <w:vMerge/>
            <w:shd w:val="clear" w:color="auto" w:fill="C9F8F3"/>
          </w:tcPr>
          <w:p w14:paraId="49AB945C"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5F333BA7" w14:textId="77777777">
        <w:tc>
          <w:tcPr>
            <w:tcW w:w="648" w:type="dxa"/>
            <w:vMerge/>
            <w:shd w:val="clear" w:color="auto" w:fill="8AA2AC"/>
          </w:tcPr>
          <w:p w14:paraId="56C37497"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235CA8F6"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 xml:space="preserve">t) Support intergenerational dialogue and </w:t>
            </w:r>
            <w:proofErr w:type="gramStart"/>
            <w:r>
              <w:rPr>
                <w:rFonts w:ascii="Trebuchet MS" w:eastAsia="Trebuchet MS" w:hAnsi="Trebuchet MS" w:cs="Trebuchet MS"/>
                <w:sz w:val="20"/>
                <w:szCs w:val="20"/>
              </w:rPr>
              <w:t>mentoring on</w:t>
            </w:r>
            <w:proofErr w:type="gramEnd"/>
            <w:r>
              <w:rPr>
                <w:rFonts w:ascii="Trebuchet MS" w:eastAsia="Trebuchet MS" w:hAnsi="Trebuchet MS" w:cs="Trebuchet MS"/>
                <w:sz w:val="20"/>
                <w:szCs w:val="20"/>
              </w:rPr>
              <w:t xml:space="preserve"> traditional practices.</w:t>
            </w:r>
          </w:p>
        </w:tc>
        <w:tc>
          <w:tcPr>
            <w:tcW w:w="2790" w:type="dxa"/>
            <w:vMerge/>
            <w:shd w:val="clear" w:color="auto" w:fill="C9F8F3"/>
          </w:tcPr>
          <w:p w14:paraId="34CAB29F"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0963FCCB" w14:textId="77777777">
        <w:tc>
          <w:tcPr>
            <w:tcW w:w="648" w:type="dxa"/>
            <w:vMerge/>
            <w:shd w:val="clear" w:color="auto" w:fill="8AA2AC"/>
          </w:tcPr>
          <w:p w14:paraId="4B8450DB"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2E1EBD92"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u) Promote forest guardianship through citizen monitoring and youth ranger programs.</w:t>
            </w:r>
          </w:p>
        </w:tc>
        <w:tc>
          <w:tcPr>
            <w:tcW w:w="2790" w:type="dxa"/>
            <w:vMerge/>
            <w:shd w:val="clear" w:color="auto" w:fill="C9F8F3"/>
          </w:tcPr>
          <w:p w14:paraId="6C5B65F9"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1069A17" w14:textId="77777777">
        <w:tc>
          <w:tcPr>
            <w:tcW w:w="648" w:type="dxa"/>
            <w:vMerge w:val="restart"/>
            <w:shd w:val="clear" w:color="auto" w:fill="8AA2AC"/>
          </w:tcPr>
          <w:p w14:paraId="5BE5AA9F"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8</w:t>
            </w:r>
          </w:p>
        </w:tc>
        <w:tc>
          <w:tcPr>
            <w:tcW w:w="5647" w:type="dxa"/>
            <w:shd w:val="clear" w:color="auto" w:fill="E8EEEF"/>
          </w:tcPr>
          <w:p w14:paraId="14CF7C6B"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Education and Forest Culture</w:t>
            </w:r>
          </w:p>
        </w:tc>
        <w:tc>
          <w:tcPr>
            <w:tcW w:w="2790" w:type="dxa"/>
            <w:vMerge/>
            <w:shd w:val="clear" w:color="auto" w:fill="C9F8F3"/>
          </w:tcPr>
          <w:p w14:paraId="76E4C280"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28A068B3" w14:textId="77777777">
        <w:tc>
          <w:tcPr>
            <w:tcW w:w="648" w:type="dxa"/>
            <w:vMerge/>
            <w:shd w:val="clear" w:color="auto" w:fill="8AA2AC"/>
          </w:tcPr>
          <w:p w14:paraId="35524C48"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31453D86"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v) Integrate forest heritage into school curricula, including field classes and seasonal camps.</w:t>
            </w:r>
          </w:p>
        </w:tc>
        <w:tc>
          <w:tcPr>
            <w:tcW w:w="2790" w:type="dxa"/>
            <w:vMerge/>
            <w:shd w:val="clear" w:color="auto" w:fill="C9F8F3"/>
          </w:tcPr>
          <w:p w14:paraId="48560F93"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5563B30D" w14:textId="77777777">
        <w:tc>
          <w:tcPr>
            <w:tcW w:w="648" w:type="dxa"/>
            <w:vMerge/>
            <w:shd w:val="clear" w:color="auto" w:fill="8AA2AC"/>
          </w:tcPr>
          <w:p w14:paraId="2CDD5CE4"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434163B4"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w) Develop cross-border youth exchanges on forest and cultural topics.</w:t>
            </w:r>
          </w:p>
        </w:tc>
        <w:tc>
          <w:tcPr>
            <w:tcW w:w="2790" w:type="dxa"/>
            <w:vMerge/>
            <w:shd w:val="clear" w:color="auto" w:fill="C9F8F3"/>
          </w:tcPr>
          <w:p w14:paraId="3E9AD82B"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0898DDF8" w14:textId="77777777">
        <w:tc>
          <w:tcPr>
            <w:tcW w:w="648" w:type="dxa"/>
            <w:vMerge/>
            <w:shd w:val="clear" w:color="auto" w:fill="8AA2AC"/>
          </w:tcPr>
          <w:p w14:paraId="6CD8D3DC"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55448C77"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x) Fund participatory research and oral history collection among elders.</w:t>
            </w:r>
          </w:p>
        </w:tc>
        <w:tc>
          <w:tcPr>
            <w:tcW w:w="2790" w:type="dxa"/>
            <w:vMerge/>
            <w:shd w:val="clear" w:color="auto" w:fill="C9F8F3"/>
          </w:tcPr>
          <w:p w14:paraId="41CDA0A6"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460E31B9" w14:textId="77777777">
        <w:tc>
          <w:tcPr>
            <w:tcW w:w="648" w:type="dxa"/>
            <w:vMerge w:val="restart"/>
            <w:shd w:val="clear" w:color="auto" w:fill="8AA2AC"/>
          </w:tcPr>
          <w:p w14:paraId="6B882884"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9</w:t>
            </w:r>
          </w:p>
        </w:tc>
        <w:tc>
          <w:tcPr>
            <w:tcW w:w="5647" w:type="dxa"/>
            <w:shd w:val="clear" w:color="auto" w:fill="E8EEEF"/>
          </w:tcPr>
          <w:p w14:paraId="61873D59"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Professional Capacity Building and Knowledge Exchange</w:t>
            </w:r>
          </w:p>
        </w:tc>
        <w:tc>
          <w:tcPr>
            <w:tcW w:w="2790" w:type="dxa"/>
            <w:vMerge/>
            <w:shd w:val="clear" w:color="auto" w:fill="C9F8F3"/>
          </w:tcPr>
          <w:p w14:paraId="1C4960AB"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7A99F561" w14:textId="77777777">
        <w:tc>
          <w:tcPr>
            <w:tcW w:w="648" w:type="dxa"/>
            <w:vMerge/>
            <w:shd w:val="clear" w:color="auto" w:fill="8AA2AC"/>
          </w:tcPr>
          <w:p w14:paraId="2996697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0A59ADBD"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y) Provide targeted training for rural tourism actors on forest-linked heritage.</w:t>
            </w:r>
          </w:p>
        </w:tc>
        <w:tc>
          <w:tcPr>
            <w:tcW w:w="2790" w:type="dxa"/>
            <w:vMerge/>
            <w:shd w:val="clear" w:color="auto" w:fill="C9F8F3"/>
          </w:tcPr>
          <w:p w14:paraId="2D6AF085"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7CEA2876" w14:textId="77777777">
        <w:tc>
          <w:tcPr>
            <w:tcW w:w="648" w:type="dxa"/>
            <w:vMerge/>
            <w:shd w:val="clear" w:color="auto" w:fill="8AA2AC"/>
          </w:tcPr>
          <w:p w14:paraId="7F678CFC"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42989E67"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z) Facilitate cooperation between universities, CSOs, and public authorities.</w:t>
            </w:r>
          </w:p>
        </w:tc>
        <w:tc>
          <w:tcPr>
            <w:tcW w:w="2790" w:type="dxa"/>
            <w:vMerge/>
            <w:shd w:val="clear" w:color="auto" w:fill="C9F8F3"/>
          </w:tcPr>
          <w:p w14:paraId="74019CD2"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r w:rsidR="00E24EC1" w14:paraId="3C7DCC03" w14:textId="77777777">
        <w:tc>
          <w:tcPr>
            <w:tcW w:w="648" w:type="dxa"/>
            <w:vMerge/>
            <w:shd w:val="clear" w:color="auto" w:fill="8AA2AC"/>
          </w:tcPr>
          <w:p w14:paraId="3E1F2097"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c>
          <w:tcPr>
            <w:tcW w:w="5647" w:type="dxa"/>
            <w:shd w:val="clear" w:color="auto" w:fill="E8EEEF"/>
          </w:tcPr>
          <w:p w14:paraId="4B322615"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aa) Develop Montenegro’s contribution to the Danube Wood(s)Route as a shared knowledge platform.</w:t>
            </w:r>
          </w:p>
        </w:tc>
        <w:tc>
          <w:tcPr>
            <w:tcW w:w="2790" w:type="dxa"/>
            <w:vMerge/>
            <w:shd w:val="clear" w:color="auto" w:fill="C9F8F3"/>
          </w:tcPr>
          <w:p w14:paraId="5DEBDCAD"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sz w:val="20"/>
                <w:szCs w:val="20"/>
              </w:rPr>
            </w:pPr>
          </w:p>
        </w:tc>
      </w:tr>
    </w:tbl>
    <w:p w14:paraId="41086FE6" w14:textId="77777777" w:rsidR="00E24EC1" w:rsidRDefault="00E24EC1">
      <w:pPr>
        <w:keepNext/>
        <w:pBdr>
          <w:top w:val="nil"/>
          <w:left w:val="nil"/>
          <w:bottom w:val="nil"/>
          <w:right w:val="nil"/>
          <w:between w:val="nil"/>
        </w:pBdr>
        <w:spacing w:before="360"/>
        <w:jc w:val="center"/>
        <w:rPr>
          <w:rFonts w:ascii="Trebuchet MS" w:eastAsia="Trebuchet MS" w:hAnsi="Trebuchet MS" w:cs="Trebuchet MS"/>
          <w:color w:val="000000"/>
          <w:sz w:val="18"/>
          <w:szCs w:val="18"/>
        </w:rPr>
      </w:pPr>
    </w:p>
    <w:p w14:paraId="7BB9981A" w14:textId="77777777" w:rsidR="00E24EC1" w:rsidRDefault="00000000">
      <w:pPr>
        <w:keepNext/>
        <w:pBdr>
          <w:top w:val="nil"/>
          <w:left w:val="nil"/>
          <w:bottom w:val="nil"/>
          <w:right w:val="nil"/>
          <w:between w:val="nil"/>
        </w:pBdr>
        <w:spacing w:after="200"/>
        <w:jc w:val="center"/>
        <w:rPr>
          <w:i/>
          <w:color w:val="0C0C0C"/>
          <w:sz w:val="18"/>
          <w:szCs w:val="18"/>
        </w:rPr>
      </w:pPr>
      <w:r>
        <w:rPr>
          <w:rFonts w:ascii="Trebuchet MS" w:eastAsia="Trebuchet MS" w:hAnsi="Trebuchet MS" w:cs="Trebuchet MS"/>
          <w:i/>
          <w:color w:val="0C0C0C"/>
          <w:sz w:val="18"/>
          <w:szCs w:val="18"/>
        </w:rPr>
        <w:t xml:space="preserve"> 4. Figure: Actionable measures building on Strategic Actions</w:t>
      </w:r>
    </w:p>
    <w:tbl>
      <w:tblPr>
        <w:tblStyle w:val="af0"/>
        <w:tblW w:w="9071" w:type="dxa"/>
        <w:tblInd w:w="0"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3402"/>
        <w:gridCol w:w="5669"/>
      </w:tblGrid>
      <w:tr w:rsidR="00E24EC1" w14:paraId="679DB80F" w14:textId="77777777" w:rsidTr="00E24E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1A0D1D93" w14:textId="77777777" w:rsidR="00E24EC1" w:rsidRDefault="00000000">
            <w:pPr>
              <w:widowControl w:val="0"/>
              <w:pBdr>
                <w:top w:val="nil"/>
                <w:left w:val="nil"/>
                <w:bottom w:val="nil"/>
                <w:right w:val="nil"/>
                <w:between w:val="nil"/>
              </w:pBdr>
              <w:jc w:val="center"/>
              <w:rPr>
                <w:b/>
                <w:color w:val="FFFFFF"/>
                <w:sz w:val="20"/>
                <w:szCs w:val="20"/>
              </w:rPr>
            </w:pPr>
            <w:r>
              <w:rPr>
                <w:b/>
                <w:color w:val="FFFFFF"/>
                <w:sz w:val="20"/>
                <w:szCs w:val="20"/>
              </w:rPr>
              <w:t>Strategic Actions</w:t>
            </w:r>
          </w:p>
        </w:tc>
        <w:tc>
          <w:tcPr>
            <w:tcW w:w="5669" w:type="dxa"/>
          </w:tcPr>
          <w:p w14:paraId="04345B42" w14:textId="77777777" w:rsidR="00E24EC1" w:rsidRDefault="00000000">
            <w:pPr>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Actionable Measures</w:t>
            </w:r>
          </w:p>
        </w:tc>
      </w:tr>
      <w:tr w:rsidR="00E24EC1" w14:paraId="1D43A969"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28AB036C"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1. -Promote traditional craftsmanship</w:t>
            </w:r>
          </w:p>
          <w:p w14:paraId="43AF1642"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-Educational programs</w:t>
            </w:r>
          </w:p>
          <w:p w14:paraId="2EF5BB84"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-Promote local crafts</w:t>
            </w:r>
          </w:p>
        </w:tc>
        <w:tc>
          <w:tcPr>
            <w:tcW w:w="5669" w:type="dxa"/>
            <w:vAlign w:val="top"/>
          </w:tcPr>
          <w:p w14:paraId="2427931E"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 Organize training on wood-based decorative skills, carving, symbolic motifs, and sustainable wooden crafts.</w:t>
            </w:r>
            <w:r>
              <w:rPr>
                <w:sz w:val="20"/>
                <w:szCs w:val="20"/>
              </w:rPr>
              <w:br/>
              <w:t>h) Include women and youth in knowledge transmission processes and heritage interpretation.</w:t>
            </w:r>
            <w:r>
              <w:rPr>
                <w:sz w:val="20"/>
                <w:szCs w:val="20"/>
              </w:rPr>
              <w:br/>
            </w:r>
            <w:proofErr w:type="spellStart"/>
            <w:r>
              <w:rPr>
                <w:sz w:val="20"/>
                <w:szCs w:val="20"/>
              </w:rPr>
              <w:t>i</w:t>
            </w:r>
            <w:proofErr w:type="spellEnd"/>
            <w:r>
              <w:rPr>
                <w:sz w:val="20"/>
                <w:szCs w:val="20"/>
              </w:rPr>
              <w:t>) Develop wood heritage-related souvenirs and products linked to local identity and markets.</w:t>
            </w:r>
          </w:p>
        </w:tc>
      </w:tr>
      <w:tr w:rsidR="00E24EC1" w14:paraId="1DAE2F0A"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47C6EDDF"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2. –Monitor biodiversity</w:t>
            </w:r>
          </w:p>
          <w:p w14:paraId="35A05DDA"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-Strengthen forest governance       -Actions for the restoration of biodiversity and natural resources</w:t>
            </w:r>
          </w:p>
        </w:tc>
        <w:tc>
          <w:tcPr>
            <w:tcW w:w="5669" w:type="dxa"/>
            <w:vAlign w:val="top"/>
          </w:tcPr>
          <w:p w14:paraId="643D45DE"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 Maintain open pastures and forest edges through seasonal grazing, preventing overgrowth and supporting rare species.</w:t>
            </w:r>
            <w:r>
              <w:rPr>
                <w:sz w:val="20"/>
                <w:szCs w:val="20"/>
              </w:rPr>
              <w:br/>
              <w:t>e) Support research on biodiversity linked to traditional land-use in katun systems.</w:t>
            </w:r>
            <w:r>
              <w:rPr>
                <w:sz w:val="20"/>
                <w:szCs w:val="20"/>
              </w:rPr>
              <w:br/>
              <w:t>f) Prevent overuse and degradation of ecologically sensitive forest-pasture mosaics.</w:t>
            </w:r>
          </w:p>
        </w:tc>
      </w:tr>
      <w:tr w:rsidR="00E24EC1" w14:paraId="6BEAEFD3"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3E4F60DC"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3.- Support for Museums and exhibitions     </w:t>
            </w:r>
          </w:p>
        </w:tc>
        <w:tc>
          <w:tcPr>
            <w:tcW w:w="5669" w:type="dxa"/>
            <w:vAlign w:val="top"/>
          </w:tcPr>
          <w:p w14:paraId="0643A3AE"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 Create micro-museums or exhibits in refurbished katun huts or local schools.</w:t>
            </w:r>
          </w:p>
        </w:tc>
      </w:tr>
      <w:tr w:rsidR="00E24EC1" w14:paraId="7DE29A65"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2EFF5289"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4.-Enhancing and accessibility to forest resources                            -Enhance market access for “</w:t>
            </w:r>
            <w:proofErr w:type="spellStart"/>
            <w:proofErr w:type="gramStart"/>
            <w:r>
              <w:rPr>
                <w:b/>
                <w:color w:val="FFFFFF"/>
                <w:sz w:val="20"/>
                <w:szCs w:val="20"/>
              </w:rPr>
              <w:t>regional”timberproducts</w:t>
            </w:r>
            <w:proofErr w:type="spellEnd"/>
            <w:proofErr w:type="gramEnd"/>
            <w:r>
              <w:rPr>
                <w:b/>
                <w:color w:val="FFFFFF"/>
                <w:sz w:val="20"/>
                <w:szCs w:val="20"/>
              </w:rPr>
              <w:t xml:space="preserve"> .</w:t>
            </w:r>
          </w:p>
        </w:tc>
        <w:tc>
          <w:tcPr>
            <w:tcW w:w="5669" w:type="dxa"/>
            <w:vAlign w:val="top"/>
          </w:tcPr>
          <w:p w14:paraId="140E265E"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 Facilitate cooperation between universities, CSOs, and public authorities.</w:t>
            </w:r>
            <w:r>
              <w:rPr>
                <w:sz w:val="20"/>
                <w:szCs w:val="20"/>
              </w:rPr>
              <w:br/>
              <w:t>aa) Develop Montenegro’s contribution to the Danube Wood(s)Route as a shared knowledge platform.</w:t>
            </w:r>
          </w:p>
        </w:tc>
      </w:tr>
      <w:tr w:rsidR="00E24EC1" w14:paraId="44F9A92C"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794A0202"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5. Quality standards for rural tourism and gastronomy.</w:t>
            </w:r>
          </w:p>
        </w:tc>
        <w:tc>
          <w:tcPr>
            <w:tcW w:w="5669" w:type="dxa"/>
            <w:vAlign w:val="top"/>
          </w:tcPr>
          <w:p w14:paraId="273C0788"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 Develop forest-themed cultural itineraries, including katun stays, trail interpretation, and culinary storytelling.</w:t>
            </w:r>
          </w:p>
        </w:tc>
      </w:tr>
      <w:tr w:rsidR="00E24EC1" w14:paraId="2C32C429"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38DBE2BD"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6. Infrastructure enhancement   </w:t>
            </w:r>
          </w:p>
        </w:tc>
        <w:tc>
          <w:tcPr>
            <w:tcW w:w="5669" w:type="dxa"/>
            <w:vAlign w:val="top"/>
          </w:tcPr>
          <w:p w14:paraId="669639C2"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 Invest in minimal-impact visitor infrastructure (info points, rest stops, water sources) along forest routes.</w:t>
            </w:r>
            <w:r>
              <w:rPr>
                <w:sz w:val="20"/>
                <w:szCs w:val="20"/>
              </w:rPr>
              <w:br/>
              <w:t>n) Encourage sustainable mobility options (e-bikes, trails) in mountain areas.</w:t>
            </w:r>
          </w:p>
        </w:tc>
      </w:tr>
      <w:tr w:rsidR="00E24EC1" w14:paraId="00925879"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329C15F6"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7. Integrated tourism packages</w:t>
            </w:r>
          </w:p>
        </w:tc>
        <w:tc>
          <w:tcPr>
            <w:tcW w:w="5669" w:type="dxa"/>
            <w:vAlign w:val="top"/>
          </w:tcPr>
          <w:p w14:paraId="290359A2"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 Encourage community-based tourism packages tied to forest crafts and cultural events.</w:t>
            </w:r>
          </w:p>
        </w:tc>
      </w:tr>
      <w:tr w:rsidR="00E24EC1" w14:paraId="0B9CAC7C"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0958CB6A"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8. Annual festival and events      </w:t>
            </w:r>
          </w:p>
        </w:tc>
        <w:tc>
          <w:tcPr>
            <w:tcW w:w="5669" w:type="dxa"/>
            <w:vAlign w:val="top"/>
          </w:tcPr>
          <w:p w14:paraId="2E80507E"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 Organize seasonal fairs, events, and storytelling workshops centered around forest heritage.</w:t>
            </w:r>
          </w:p>
        </w:tc>
      </w:tr>
      <w:tr w:rsidR="00E24EC1" w14:paraId="235AB16B"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1491BD72"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9. Promote sustainable forestry practices.</w:t>
            </w:r>
          </w:p>
        </w:tc>
        <w:tc>
          <w:tcPr>
            <w:tcW w:w="5669" w:type="dxa"/>
            <w:vAlign w:val="top"/>
          </w:tcPr>
          <w:p w14:paraId="361D7693"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Pilot innovative uses of local wood for eco-friendly construction and artisanal products.</w:t>
            </w:r>
          </w:p>
        </w:tc>
      </w:tr>
      <w:tr w:rsidR="00E24EC1" w14:paraId="0B18CF59"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69552717"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lastRenderedPageBreak/>
              <w:t>10. Encourage local entrepreneurship</w:t>
            </w:r>
          </w:p>
        </w:tc>
        <w:tc>
          <w:tcPr>
            <w:tcW w:w="5669" w:type="dxa"/>
            <w:vAlign w:val="top"/>
          </w:tcPr>
          <w:p w14:paraId="02C999AA"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 Link forest product value chains with rural tourism and regional branding.</w:t>
            </w:r>
          </w:p>
        </w:tc>
      </w:tr>
      <w:tr w:rsidR="00E24EC1" w14:paraId="1178D68B"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51D752D7"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11. Support carbon trading and financial </w:t>
            </w:r>
            <w:proofErr w:type="spellStart"/>
            <w:r>
              <w:rPr>
                <w:b/>
                <w:color w:val="FFFFFF"/>
                <w:sz w:val="20"/>
                <w:szCs w:val="20"/>
              </w:rPr>
              <w:t>farmework</w:t>
            </w:r>
            <w:proofErr w:type="spellEnd"/>
            <w:r>
              <w:rPr>
                <w:b/>
                <w:color w:val="FFFFFF"/>
                <w:sz w:val="20"/>
                <w:szCs w:val="20"/>
              </w:rPr>
              <w:t xml:space="preserve"> for assuring biodiversity payments</w:t>
            </w:r>
          </w:p>
        </w:tc>
        <w:tc>
          <w:tcPr>
            <w:tcW w:w="5669" w:type="dxa"/>
            <w:vAlign w:val="top"/>
          </w:tcPr>
          <w:p w14:paraId="4C91D3D8"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 Explore carbon-sequestration schemes through forest stewardship.</w:t>
            </w:r>
          </w:p>
        </w:tc>
      </w:tr>
      <w:tr w:rsidR="00E24EC1" w14:paraId="5C3BA86B"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63CB5A80"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12. Invest in </w:t>
            </w:r>
            <w:proofErr w:type="spellStart"/>
            <w:r>
              <w:rPr>
                <w:b/>
                <w:color w:val="FFFFFF"/>
                <w:sz w:val="20"/>
                <w:szCs w:val="20"/>
              </w:rPr>
              <w:t>reseach</w:t>
            </w:r>
            <w:proofErr w:type="spellEnd"/>
            <w:r>
              <w:rPr>
                <w:b/>
                <w:color w:val="FFFFFF"/>
                <w:sz w:val="20"/>
                <w:szCs w:val="20"/>
              </w:rPr>
              <w:t xml:space="preserve"> and development for innovative wood-</w:t>
            </w:r>
            <w:proofErr w:type="gramStart"/>
            <w:r>
              <w:rPr>
                <w:b/>
                <w:color w:val="FFFFFF"/>
                <w:sz w:val="20"/>
                <w:szCs w:val="20"/>
              </w:rPr>
              <w:t>based  bio</w:t>
            </w:r>
            <w:proofErr w:type="gramEnd"/>
            <w:r>
              <w:rPr>
                <w:b/>
                <w:color w:val="FFFFFF"/>
                <w:sz w:val="20"/>
                <w:szCs w:val="20"/>
              </w:rPr>
              <w:t>-economy solutions.</w:t>
            </w:r>
          </w:p>
        </w:tc>
        <w:tc>
          <w:tcPr>
            <w:tcW w:w="5669" w:type="dxa"/>
            <w:vAlign w:val="top"/>
          </w:tcPr>
          <w:p w14:paraId="0B5BCFB2"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Pilot innovative uses of local wood for eco-friendly construction and artisanal products.</w:t>
            </w:r>
          </w:p>
        </w:tc>
      </w:tr>
      <w:tr w:rsidR="00E24EC1" w14:paraId="4DA034F7"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77B8F905"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13.- Financial framework for assuring biodiversity                      -Foster cross border collaboration                                   </w:t>
            </w:r>
          </w:p>
        </w:tc>
        <w:tc>
          <w:tcPr>
            <w:tcW w:w="5669" w:type="dxa"/>
            <w:vAlign w:val="top"/>
          </w:tcPr>
          <w:p w14:paraId="0E362117"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 Integrate forest heritage into school curricula, including field classes and seasonal camps.</w:t>
            </w:r>
            <w:r>
              <w:rPr>
                <w:sz w:val="20"/>
                <w:szCs w:val="20"/>
              </w:rPr>
              <w:br/>
              <w:t>w) Develop cross-border youth exchanges on forest and cultural topics.</w:t>
            </w:r>
            <w:r>
              <w:rPr>
                <w:sz w:val="20"/>
                <w:szCs w:val="20"/>
              </w:rPr>
              <w:br/>
              <w:t>x) Fund participatory research and oral history collection among elders.</w:t>
            </w:r>
          </w:p>
        </w:tc>
      </w:tr>
      <w:tr w:rsidR="00E24EC1" w14:paraId="453722D4"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161CB7C2"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14.-Educational programs             -</w:t>
            </w:r>
            <w:proofErr w:type="gramStart"/>
            <w:r>
              <w:rPr>
                <w:b/>
                <w:color w:val="FFFFFF"/>
                <w:sz w:val="20"/>
                <w:szCs w:val="20"/>
              </w:rPr>
              <w:t>Educational</w:t>
            </w:r>
            <w:proofErr w:type="gramEnd"/>
            <w:r>
              <w:rPr>
                <w:b/>
                <w:color w:val="FFFFFF"/>
                <w:sz w:val="20"/>
                <w:szCs w:val="20"/>
              </w:rPr>
              <w:t xml:space="preserve"> campaigns</w:t>
            </w:r>
          </w:p>
        </w:tc>
        <w:tc>
          <w:tcPr>
            <w:tcW w:w="5669" w:type="dxa"/>
            <w:vAlign w:val="top"/>
          </w:tcPr>
          <w:p w14:paraId="66C240A7"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 Support intergenerational dialogue and mentoring on traditional practices.</w:t>
            </w:r>
            <w:r>
              <w:rPr>
                <w:sz w:val="20"/>
                <w:szCs w:val="20"/>
              </w:rPr>
              <w:br/>
              <w:t xml:space="preserve">u) </w:t>
            </w:r>
            <w:proofErr w:type="gramStart"/>
            <w:r>
              <w:rPr>
                <w:sz w:val="20"/>
                <w:szCs w:val="20"/>
              </w:rPr>
              <w:t>Promote forest</w:t>
            </w:r>
            <w:proofErr w:type="gramEnd"/>
            <w:r>
              <w:rPr>
                <w:sz w:val="20"/>
                <w:szCs w:val="20"/>
              </w:rPr>
              <w:t xml:space="preserve"> guardianship through citizen monitoring and youth ranger programs.</w:t>
            </w:r>
          </w:p>
        </w:tc>
      </w:tr>
      <w:tr w:rsidR="00E24EC1" w14:paraId="0B0A246E"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6F4008E3"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 xml:space="preserve">15. Digital awareness program         </w:t>
            </w:r>
          </w:p>
        </w:tc>
        <w:tc>
          <w:tcPr>
            <w:tcW w:w="5669" w:type="dxa"/>
            <w:vAlign w:val="top"/>
          </w:tcPr>
          <w:p w14:paraId="06A1DF8F"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 Provide targeted training for rural tourism actors on forest-linked heritage.</w:t>
            </w:r>
          </w:p>
        </w:tc>
      </w:tr>
      <w:tr w:rsidR="00E24EC1" w14:paraId="1BAC19BB" w14:textId="77777777" w:rsidTr="00E24EC1">
        <w:tc>
          <w:tcPr>
            <w:cnfStyle w:val="001000000000" w:firstRow="0" w:lastRow="0" w:firstColumn="1" w:lastColumn="0" w:oddVBand="0" w:evenVBand="0" w:oddHBand="0" w:evenHBand="0" w:firstRowFirstColumn="0" w:firstRowLastColumn="0" w:lastRowFirstColumn="0" w:lastRowLastColumn="0"/>
            <w:tcW w:w="3402" w:type="dxa"/>
            <w:shd w:val="clear" w:color="auto" w:fill="7F7F7F"/>
          </w:tcPr>
          <w:p w14:paraId="1F243B46" w14:textId="77777777" w:rsidR="00E24EC1" w:rsidRDefault="00000000">
            <w:pPr>
              <w:widowControl w:val="0"/>
              <w:pBdr>
                <w:top w:val="nil"/>
                <w:left w:val="nil"/>
                <w:bottom w:val="nil"/>
                <w:right w:val="nil"/>
                <w:between w:val="nil"/>
              </w:pBdr>
              <w:rPr>
                <w:b/>
                <w:color w:val="FFFFFF"/>
                <w:sz w:val="20"/>
                <w:szCs w:val="20"/>
              </w:rPr>
            </w:pPr>
            <w:r>
              <w:rPr>
                <w:b/>
                <w:color w:val="FFFFFF"/>
                <w:sz w:val="20"/>
                <w:szCs w:val="20"/>
              </w:rPr>
              <w:t>16. Stakeholders collaboration forums</w:t>
            </w:r>
          </w:p>
        </w:tc>
        <w:tc>
          <w:tcPr>
            <w:tcW w:w="5669" w:type="dxa"/>
            <w:vAlign w:val="top"/>
          </w:tcPr>
          <w:p w14:paraId="4C029F75" w14:textId="77777777" w:rsidR="00E24EC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 Facilitate cooperation between universities, CSOs, and public authorities.</w:t>
            </w:r>
            <w:r>
              <w:rPr>
                <w:sz w:val="20"/>
                <w:szCs w:val="20"/>
              </w:rPr>
              <w:br/>
              <w:t>aa) Develop Montenegro’s contribution to the Danube Wood(s)Route as a shared knowledge platform.</w:t>
            </w:r>
          </w:p>
        </w:tc>
      </w:tr>
    </w:tbl>
    <w:p w14:paraId="3463E6B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795B9E9"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 next section is a structured elaboration of the two actions, which were selected based on their short-term feasibility while </w:t>
      </w:r>
      <w:proofErr w:type="spellStart"/>
      <w:r>
        <w:rPr>
          <w:rFonts w:ascii="Trebuchet MS" w:eastAsia="Trebuchet MS" w:hAnsi="Trebuchet MS" w:cs="Trebuchet MS"/>
          <w:color w:val="000000"/>
          <w:sz w:val="20"/>
          <w:szCs w:val="20"/>
        </w:rPr>
        <w:t>maximising</w:t>
      </w:r>
      <w:proofErr w:type="spellEnd"/>
      <w:r>
        <w:rPr>
          <w:rFonts w:ascii="Trebuchet MS" w:eastAsia="Trebuchet MS" w:hAnsi="Trebuchet MS" w:cs="Trebuchet MS"/>
          <w:color w:val="000000"/>
          <w:sz w:val="20"/>
          <w:szCs w:val="20"/>
        </w:rPr>
        <w:t xml:space="preserve"> long-term effect.</w:t>
      </w:r>
    </w:p>
    <w:p w14:paraId="460A26E4"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E82CD6D" w14:textId="77777777" w:rsidR="00E24EC1" w:rsidRDefault="00000000">
      <w:pPr>
        <w:pStyle w:val="Naslov2"/>
        <w:numPr>
          <w:ilvl w:val="1"/>
          <w:numId w:val="9"/>
        </w:numPr>
      </w:pPr>
      <w:bookmarkStart w:id="11" w:name="_heading=h.hr7mcv9sm6fq" w:colFirst="0" w:colLast="0"/>
      <w:bookmarkEnd w:id="11"/>
      <w:r>
        <w:t>Action 1- Organize Training in Decorative Wood-Based Skills (g)</w:t>
      </w:r>
    </w:p>
    <w:p w14:paraId="4B0F84D8" w14:textId="77777777" w:rsidR="00E24EC1" w:rsidRDefault="00000000">
      <w:pPr>
        <w:pStyle w:val="Naslov3"/>
        <w:numPr>
          <w:ilvl w:val="2"/>
          <w:numId w:val="9"/>
        </w:numPr>
      </w:pPr>
      <w:bookmarkStart w:id="12" w:name="_heading=h.s56dwx39kxcs" w:colFirst="0" w:colLast="0"/>
      <w:bookmarkEnd w:id="12"/>
      <w:r>
        <w:t>Relevance of the measure</w:t>
      </w:r>
    </w:p>
    <w:p w14:paraId="2D683FCA"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36402C0"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 xml:space="preserve">In 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region, the natural landscape, forest culture, and transhumance traditions are deeply rooted in local identity. However, few rural tourism households visually express this unique relationship with the forest in their interiors and guest-facing spaces. As cultural tourism and nature-based travel gain momentum, visitors increasingly seek immersive, authentic experiences that connect them with local heritage.</w:t>
      </w:r>
    </w:p>
    <w:p w14:paraId="7ECA3578"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2E7245DD" w14:textId="77777777" w:rsidR="00E24EC1" w:rsidRDefault="00000000">
      <w:pPr>
        <w:pBdr>
          <w:top w:val="nil"/>
          <w:left w:val="nil"/>
          <w:bottom w:val="nil"/>
          <w:right w:val="nil"/>
          <w:between w:val="nil"/>
        </w:pBdr>
        <w:jc w:val="both"/>
        <w:rPr>
          <w:rFonts w:ascii="Trebuchet MS" w:eastAsia="Trebuchet MS" w:hAnsi="Trebuchet MS" w:cs="Trebuchet MS"/>
          <w:sz w:val="20"/>
          <w:szCs w:val="20"/>
        </w:rPr>
      </w:pPr>
      <w:r>
        <w:rPr>
          <w:rFonts w:ascii="Trebuchet MS" w:eastAsia="Trebuchet MS" w:hAnsi="Trebuchet MS" w:cs="Trebuchet MS"/>
          <w:sz w:val="20"/>
          <w:szCs w:val="20"/>
        </w:rPr>
        <w:t>This measure aims to support rural households in visually reflecting the forest heritage of their surroundings through simple, symbolic, and nature-based decorative elements. The idea is not to revive expert-level carving or woodcraft but to encourage the use of forest-inspired motifs, natural materials, and elements of storytelling that reflect life in and with the forest. These could include the use of natural wood, forest plants, old tools, traditional textiles, or replicas of wooden symbols from the katun culture.</w:t>
      </w:r>
    </w:p>
    <w:p w14:paraId="70EF0021" w14:textId="77777777" w:rsidR="00E24EC1" w:rsidRDefault="00E24EC1">
      <w:pPr>
        <w:pBdr>
          <w:top w:val="nil"/>
          <w:left w:val="nil"/>
          <w:bottom w:val="nil"/>
          <w:right w:val="nil"/>
          <w:between w:val="nil"/>
        </w:pBdr>
        <w:jc w:val="both"/>
        <w:rPr>
          <w:rFonts w:ascii="Trebuchet MS" w:eastAsia="Trebuchet MS" w:hAnsi="Trebuchet MS" w:cs="Trebuchet MS"/>
          <w:sz w:val="20"/>
          <w:szCs w:val="20"/>
        </w:rPr>
      </w:pPr>
    </w:p>
    <w:p w14:paraId="1BE4F1D2" w14:textId="77777777" w:rsidR="00E24EC1" w:rsidRDefault="00000000">
      <w:pPr>
        <w:pBdr>
          <w:top w:val="nil"/>
          <w:left w:val="nil"/>
          <w:bottom w:val="nil"/>
          <w:right w:val="nil"/>
          <w:between w:val="nil"/>
        </w:pBdr>
        <w:jc w:val="both"/>
        <w:rPr>
          <w:rFonts w:ascii="Trebuchet MS" w:eastAsia="Trebuchet MS" w:hAnsi="Trebuchet MS" w:cs="Trebuchet MS"/>
          <w:color w:val="000000"/>
        </w:rPr>
      </w:pPr>
      <w:r>
        <w:rPr>
          <w:rFonts w:ascii="Trebuchet MS" w:eastAsia="Trebuchet MS" w:hAnsi="Trebuchet MS" w:cs="Trebuchet MS"/>
          <w:sz w:val="20"/>
          <w:szCs w:val="20"/>
        </w:rPr>
        <w:t xml:space="preserve">The training contributes to strengthening cultural identity, enhancing </w:t>
      </w:r>
      <w:proofErr w:type="gramStart"/>
      <w:r>
        <w:rPr>
          <w:rFonts w:ascii="Trebuchet MS" w:eastAsia="Trebuchet MS" w:hAnsi="Trebuchet MS" w:cs="Trebuchet MS"/>
          <w:sz w:val="20"/>
          <w:szCs w:val="20"/>
        </w:rPr>
        <w:t>the tourism</w:t>
      </w:r>
      <w:proofErr w:type="gramEnd"/>
      <w:r>
        <w:rPr>
          <w:rFonts w:ascii="Trebuchet MS" w:eastAsia="Trebuchet MS" w:hAnsi="Trebuchet MS" w:cs="Trebuchet MS"/>
          <w:sz w:val="20"/>
          <w:szCs w:val="20"/>
        </w:rPr>
        <w:t xml:space="preserve"> experience, and increasing the attractiveness of rural tourism offers while remaining low-cost, accessible, and inclusive.</w:t>
      </w:r>
    </w:p>
    <w:p w14:paraId="391DB445"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39990A2" w14:textId="77777777" w:rsidR="00E24EC1" w:rsidRDefault="00000000">
      <w:pPr>
        <w:pStyle w:val="Naslov3"/>
        <w:numPr>
          <w:ilvl w:val="2"/>
          <w:numId w:val="10"/>
        </w:numPr>
      </w:pPr>
      <w:bookmarkStart w:id="13" w:name="_heading=h.jq1t35s7h6ut" w:colFirst="0" w:colLast="0"/>
      <w:bookmarkEnd w:id="13"/>
      <w:r>
        <w:t xml:space="preserve">Nature of </w:t>
      </w:r>
      <w:proofErr w:type="gramStart"/>
      <w:r>
        <w:t>the action</w:t>
      </w:r>
      <w:proofErr w:type="gramEnd"/>
    </w:p>
    <w:p w14:paraId="754E8152"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FC42B43"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This action involves organizing a participatory training cycle focused on helping rural households incorporate elements of forest culture into their homes, guest rooms, or common areas. The focus </w:t>
      </w:r>
      <w:r>
        <w:rPr>
          <w:rFonts w:ascii="Trebuchet MS" w:eastAsia="Trebuchet MS" w:hAnsi="Trebuchet MS" w:cs="Trebuchet MS"/>
          <w:color w:val="000000"/>
          <w:sz w:val="20"/>
          <w:szCs w:val="20"/>
        </w:rPr>
        <w:lastRenderedPageBreak/>
        <w:t>will be on visual storytelling, use of natural and recycled materials, symbolic objects, and simple do-it-yourself decorations inspired by the region’s natural and cultural heritage.</w:t>
      </w:r>
    </w:p>
    <w:p w14:paraId="03BC8894"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72D0441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training will involve local heritage experts, tourism professionals, and creative facilitators who will guide households in selecting meaningful motifs, arranging interior elements, and communicating the story of forest life to guests. It will include practical demonstrations, peer exchange sessions, and a small exhibition of decorated spaces.</w:t>
      </w:r>
    </w:p>
    <w:p w14:paraId="3AD04A1F"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63B84A2C"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This action will begin with outreach and engagement efforts to </w:t>
      </w:r>
      <w:proofErr w:type="gramStart"/>
      <w:r>
        <w:rPr>
          <w:rFonts w:ascii="Trebuchet MS" w:eastAsia="Trebuchet MS" w:hAnsi="Trebuchet MS" w:cs="Trebuchet MS"/>
          <w:color w:val="000000"/>
          <w:sz w:val="20"/>
          <w:szCs w:val="20"/>
        </w:rPr>
        <w:t>identify</w:t>
      </w:r>
      <w:proofErr w:type="gramEnd"/>
      <w:r>
        <w:rPr>
          <w:rFonts w:ascii="Trebuchet MS" w:eastAsia="Trebuchet MS" w:hAnsi="Trebuchet MS" w:cs="Trebuchet MS"/>
          <w:color w:val="000000"/>
          <w:sz w:val="20"/>
          <w:szCs w:val="20"/>
        </w:rPr>
        <w:t xml:space="preserve"> and recruit interested rural tourism households from across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 that are part of Danube Woods Route or close to it. Following this, a tailored set of training materials and inspirational guides will be developed to reflect the forest-based cultural identity of the region. These materials will include visual examples, storytelling elements, and practical instructions for implementing decorative solutions using natural or repurposed materials.</w:t>
      </w:r>
    </w:p>
    <w:p w14:paraId="30025BB1"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658469BE"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Training will be delivered through a series of interactive workshops and hands-on demonstration sessions, facilitated by local experts in heritage interpretation, creative design, and rural tourism development. Participating households will also receive on-site visits, where trainers will provide individualized advice and assist in implementing decorative changes. The final stage of the action will feature an educational event where the results of the training will be presented, showcasing before-and-after transformations and celebrating the creative contributions of each participating household.</w:t>
      </w:r>
    </w:p>
    <w:p w14:paraId="23D9931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6CEB9C02"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25CCF8B5" w14:textId="77777777" w:rsidR="00E24EC1" w:rsidRDefault="00000000">
      <w:pPr>
        <w:pStyle w:val="Naslov3"/>
        <w:numPr>
          <w:ilvl w:val="2"/>
          <w:numId w:val="20"/>
        </w:numPr>
      </w:pPr>
      <w:bookmarkStart w:id="14" w:name="_heading=h.r3btzg8tehqs" w:colFirst="0" w:colLast="0"/>
      <w:bookmarkEnd w:id="14"/>
      <w:r>
        <w:t>Potential Danube Wood(s) Cultural Route points involved</w:t>
      </w:r>
    </w:p>
    <w:p w14:paraId="436DF485"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This action contributes to the cultural </w:t>
      </w:r>
      <w:proofErr w:type="spellStart"/>
      <w:r>
        <w:rPr>
          <w:rFonts w:ascii="Trebuchet MS" w:eastAsia="Trebuchet MS" w:hAnsi="Trebuchet MS" w:cs="Trebuchet MS"/>
          <w:color w:val="000000"/>
          <w:sz w:val="20"/>
          <w:szCs w:val="20"/>
        </w:rPr>
        <w:t>valorisation</w:t>
      </w:r>
      <w:proofErr w:type="spellEnd"/>
      <w:r>
        <w:rPr>
          <w:rFonts w:ascii="Trebuchet MS" w:eastAsia="Trebuchet MS" w:hAnsi="Trebuchet MS" w:cs="Trebuchet MS"/>
          <w:color w:val="000000"/>
          <w:sz w:val="20"/>
          <w:szCs w:val="20"/>
        </w:rPr>
        <w:t xml:space="preserve"> of rural households located within or near existing and future thematic trails envisioned as part of the Danube Wood(s)Route in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 These households represent potential interpretative nodes along the cultural route, where guests can engage with local stories, forest traditions, and natural surroundings in an authentic way.</w:t>
      </w:r>
    </w:p>
    <w:p w14:paraId="6C4A7811" w14:textId="77777777" w:rsidR="00E24EC1" w:rsidRDefault="00E24EC1">
      <w:pPr>
        <w:pBdr>
          <w:top w:val="nil"/>
          <w:left w:val="nil"/>
          <w:bottom w:val="nil"/>
          <w:right w:val="nil"/>
          <w:between w:val="nil"/>
        </w:pBdr>
        <w:ind w:left="1353"/>
        <w:jc w:val="both"/>
        <w:rPr>
          <w:rFonts w:ascii="Trebuchet MS" w:eastAsia="Trebuchet MS" w:hAnsi="Trebuchet MS" w:cs="Trebuchet MS"/>
          <w:color w:val="000000"/>
          <w:sz w:val="20"/>
          <w:szCs w:val="20"/>
        </w:rPr>
      </w:pPr>
    </w:p>
    <w:p w14:paraId="7FED17A3"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proofErr w:type="gramStart"/>
      <w:r>
        <w:rPr>
          <w:rFonts w:ascii="Trebuchet MS" w:eastAsia="Trebuchet MS" w:hAnsi="Trebuchet MS" w:cs="Trebuchet MS"/>
          <w:color w:val="000000"/>
          <w:sz w:val="20"/>
          <w:szCs w:val="20"/>
        </w:rPr>
        <w:t>Participating</w:t>
      </w:r>
      <w:proofErr w:type="gramEnd"/>
      <w:r>
        <w:rPr>
          <w:rFonts w:ascii="Trebuchet MS" w:eastAsia="Trebuchet MS" w:hAnsi="Trebuchet MS" w:cs="Trebuchet MS"/>
          <w:color w:val="000000"/>
          <w:sz w:val="20"/>
          <w:szCs w:val="20"/>
        </w:rPr>
        <w:t xml:space="preserve"> homes, once decorated, will enhance the immersive quality of the visitor experience by visually </w:t>
      </w:r>
      <w:proofErr w:type="gramStart"/>
      <w:r>
        <w:rPr>
          <w:rFonts w:ascii="Trebuchet MS" w:eastAsia="Trebuchet MS" w:hAnsi="Trebuchet MS" w:cs="Trebuchet MS"/>
          <w:color w:val="000000"/>
          <w:sz w:val="20"/>
          <w:szCs w:val="20"/>
        </w:rPr>
        <w:t>communicating</w:t>
      </w:r>
      <w:proofErr w:type="gramEnd"/>
      <w:r>
        <w:rPr>
          <w:rFonts w:ascii="Trebuchet MS" w:eastAsia="Trebuchet MS" w:hAnsi="Trebuchet MS" w:cs="Trebuchet MS"/>
          <w:color w:val="000000"/>
          <w:sz w:val="20"/>
          <w:szCs w:val="20"/>
        </w:rPr>
        <w:t xml:space="preserve"> forest-based heritage and traditional lifestyles. These interiors—featuring symbolic motifs, natural materials, and storytelling elements—may become part of organized interpretative walks or thematic trails developed through the Danube Wood(s)Route.</w:t>
      </w:r>
    </w:p>
    <w:p w14:paraId="45B0C4F8" w14:textId="77777777" w:rsidR="00E24EC1" w:rsidRDefault="00E24EC1">
      <w:pPr>
        <w:pBdr>
          <w:top w:val="nil"/>
          <w:left w:val="nil"/>
          <w:bottom w:val="nil"/>
          <w:right w:val="nil"/>
          <w:between w:val="nil"/>
        </w:pBdr>
        <w:ind w:left="1353"/>
        <w:jc w:val="both"/>
        <w:rPr>
          <w:rFonts w:ascii="Trebuchet MS" w:eastAsia="Trebuchet MS" w:hAnsi="Trebuchet MS" w:cs="Trebuchet MS"/>
          <w:color w:val="000000"/>
          <w:sz w:val="20"/>
          <w:szCs w:val="20"/>
        </w:rPr>
      </w:pPr>
    </w:p>
    <w:p w14:paraId="2981489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In the long term, such households could also serve as learning stations or demonstration points during study tours, educational visits, or cross-border exchanges, contributing to the broader transnational visibility and coherence of the Route.</w:t>
      </w:r>
    </w:p>
    <w:p w14:paraId="5FC9C0C9" w14:textId="77777777" w:rsidR="00E24EC1" w:rsidRDefault="00E24EC1">
      <w:pPr>
        <w:pBdr>
          <w:top w:val="nil"/>
          <w:left w:val="nil"/>
          <w:bottom w:val="nil"/>
          <w:right w:val="nil"/>
          <w:between w:val="nil"/>
        </w:pBdr>
        <w:ind w:left="1353"/>
        <w:rPr>
          <w:rFonts w:ascii="Trebuchet MS" w:eastAsia="Trebuchet MS" w:hAnsi="Trebuchet MS" w:cs="Trebuchet MS"/>
          <w:color w:val="000000"/>
        </w:rPr>
      </w:pPr>
    </w:p>
    <w:p w14:paraId="59F5BE41" w14:textId="77777777" w:rsidR="00E24EC1" w:rsidRDefault="00000000">
      <w:pPr>
        <w:pStyle w:val="Naslov3"/>
        <w:numPr>
          <w:ilvl w:val="2"/>
          <w:numId w:val="20"/>
        </w:numPr>
      </w:pPr>
      <w:bookmarkStart w:id="15" w:name="_heading=h.jlpuxydu18y0" w:colFirst="0" w:colLast="0"/>
      <w:bookmarkEnd w:id="15"/>
      <w:r>
        <w:t>Stakeholders involved</w:t>
      </w:r>
    </w:p>
    <w:p w14:paraId="43909848"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D2EE5BD"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 successful implementation of this action depends on strong cooperation among local and regional stakeholders who share a commitment to rural development, forest heritage, and sustainable tourism. The Regional Development Agency for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will take the lead in coordinating the initiative, working closely with local governments and tourism organizations to identify households and promote participation. Women's associations and informal creative networks will be instrumental in supporting the hands-on and community-based aspects of the training, ensuring that knowledge and ideas flow across generations and social groups. In addition, experts in heritage interpretation, interior design, and forest symbolism will be engaged to ensure the training content is both relevant and inspiring. Finally, rural tourism associations and cultural departments of municipalities will support the long-term sustainability of this initiative by promoting it within broader tourism and heritage </w:t>
      </w:r>
      <w:proofErr w:type="gramStart"/>
      <w:r>
        <w:rPr>
          <w:rFonts w:ascii="Trebuchet MS" w:eastAsia="Trebuchet MS" w:hAnsi="Trebuchet MS" w:cs="Trebuchet MS"/>
          <w:color w:val="000000"/>
          <w:sz w:val="20"/>
          <w:szCs w:val="20"/>
        </w:rPr>
        <w:t>networks, and</w:t>
      </w:r>
      <w:proofErr w:type="gramEnd"/>
      <w:r>
        <w:rPr>
          <w:rFonts w:ascii="Trebuchet MS" w:eastAsia="Trebuchet MS" w:hAnsi="Trebuchet MS" w:cs="Trebuchet MS"/>
          <w:color w:val="000000"/>
          <w:sz w:val="20"/>
          <w:szCs w:val="20"/>
        </w:rPr>
        <w:t xml:space="preserve"> possibly integrating it into certification schemes or regional branding strategies.</w:t>
      </w:r>
    </w:p>
    <w:p w14:paraId="2B30467F"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60D50DF" w14:textId="77777777" w:rsidR="00E24EC1" w:rsidRDefault="00000000">
      <w:pPr>
        <w:numPr>
          <w:ilvl w:val="0"/>
          <w:numId w:val="1"/>
        </w:numPr>
        <w:pBdr>
          <w:top w:val="nil"/>
          <w:left w:val="nil"/>
          <w:bottom w:val="nil"/>
          <w:right w:val="nil"/>
          <w:between w:val="nil"/>
        </w:pBdr>
        <w:ind w:hanging="360"/>
        <w:rPr>
          <w:sz w:val="20"/>
          <w:szCs w:val="20"/>
        </w:rPr>
      </w:pPr>
      <w:r>
        <w:rPr>
          <w:rFonts w:ascii="Trebuchet MS" w:eastAsia="Trebuchet MS" w:hAnsi="Trebuchet MS" w:cs="Trebuchet MS"/>
          <w:color w:val="000000"/>
          <w:sz w:val="20"/>
          <w:szCs w:val="20"/>
        </w:rPr>
        <w:t>Preparation: 1 month (logistics, outreach, material development)</w:t>
      </w:r>
    </w:p>
    <w:p w14:paraId="77E479F0" w14:textId="77777777" w:rsidR="00E24EC1" w:rsidRDefault="00000000">
      <w:pPr>
        <w:numPr>
          <w:ilvl w:val="0"/>
          <w:numId w:val="1"/>
        </w:numPr>
        <w:pBdr>
          <w:top w:val="nil"/>
          <w:left w:val="nil"/>
          <w:bottom w:val="nil"/>
          <w:right w:val="nil"/>
          <w:between w:val="nil"/>
        </w:pBdr>
        <w:ind w:hanging="360"/>
        <w:rPr>
          <w:sz w:val="20"/>
          <w:szCs w:val="20"/>
        </w:rPr>
      </w:pPr>
      <w:r>
        <w:rPr>
          <w:rFonts w:ascii="Trebuchet MS" w:eastAsia="Trebuchet MS" w:hAnsi="Trebuchet MS" w:cs="Trebuchet MS"/>
          <w:color w:val="000000"/>
          <w:sz w:val="20"/>
          <w:szCs w:val="20"/>
        </w:rPr>
        <w:t>Implementation: 5 months (workshops, practical works, educational activities)</w:t>
      </w:r>
    </w:p>
    <w:p w14:paraId="1326E101" w14:textId="77777777" w:rsidR="00E24EC1" w:rsidRDefault="00E24EC1">
      <w:pPr>
        <w:pBdr>
          <w:top w:val="nil"/>
          <w:left w:val="nil"/>
          <w:bottom w:val="nil"/>
          <w:right w:val="nil"/>
          <w:between w:val="nil"/>
        </w:pBdr>
        <w:ind w:left="1353"/>
      </w:pPr>
    </w:p>
    <w:p w14:paraId="55929DBB" w14:textId="77777777" w:rsidR="00E24EC1" w:rsidRDefault="00000000">
      <w:pPr>
        <w:pStyle w:val="Naslov3"/>
        <w:numPr>
          <w:ilvl w:val="2"/>
          <w:numId w:val="18"/>
        </w:numPr>
      </w:pPr>
      <w:bookmarkStart w:id="16" w:name="_heading=h.8fj2bu4zd9o7" w:colFirst="0" w:colLast="0"/>
      <w:bookmarkEnd w:id="16"/>
      <w:r>
        <w:t>Indicative costs</w:t>
      </w:r>
    </w:p>
    <w:p w14:paraId="74B9FBE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E00C4A0"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Trainers, facilitators, and coordination: €4,000</w:t>
      </w:r>
    </w:p>
    <w:p w14:paraId="1E83F888"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Materials, printing, and decorative kits: €2,000</w:t>
      </w:r>
    </w:p>
    <w:p w14:paraId="47E23B0B"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Outreach, on-site visits: €2,000</w:t>
      </w:r>
    </w:p>
    <w:p w14:paraId="4CFFF355" w14:textId="77777777" w:rsidR="00E24EC1" w:rsidRDefault="00000000">
      <w:pPr>
        <w:pBdr>
          <w:top w:val="nil"/>
          <w:left w:val="nil"/>
          <w:bottom w:val="nil"/>
          <w:right w:val="nil"/>
          <w:between w:val="nil"/>
        </w:pBdr>
        <w:ind w:left="1353"/>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Total estimated cost: €8,000</w:t>
      </w:r>
    </w:p>
    <w:p w14:paraId="1226D1A8" w14:textId="77777777" w:rsidR="00E24EC1" w:rsidRDefault="00E24EC1">
      <w:pPr>
        <w:pBdr>
          <w:top w:val="nil"/>
          <w:left w:val="nil"/>
          <w:bottom w:val="nil"/>
          <w:right w:val="nil"/>
          <w:between w:val="nil"/>
        </w:pBdr>
        <w:ind w:left="360"/>
        <w:rPr>
          <w:rFonts w:ascii="Trebuchet MS" w:eastAsia="Trebuchet MS" w:hAnsi="Trebuchet MS" w:cs="Trebuchet MS"/>
          <w:color w:val="000000"/>
        </w:rPr>
      </w:pPr>
    </w:p>
    <w:p w14:paraId="7645E256" w14:textId="77777777" w:rsidR="00E24EC1" w:rsidRDefault="00000000">
      <w:pPr>
        <w:pStyle w:val="Naslov3"/>
        <w:numPr>
          <w:ilvl w:val="2"/>
          <w:numId w:val="18"/>
        </w:numPr>
      </w:pPr>
      <w:bookmarkStart w:id="17" w:name="_heading=h.botvasf0ipvb" w:colFirst="0" w:colLast="0"/>
      <w:bookmarkEnd w:id="17"/>
      <w:r>
        <w:t>Output and result indicators</w:t>
      </w:r>
    </w:p>
    <w:p w14:paraId="7208E1F1"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households trained and advised: 10–15</w:t>
      </w:r>
    </w:p>
    <w:p w14:paraId="59D0DF8C"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decorated interiors reflecting forest heritage: 10</w:t>
      </w:r>
    </w:p>
    <w:p w14:paraId="3D1CE795"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training sessions and workshops held: 4-6</w:t>
      </w:r>
    </w:p>
    <w:p w14:paraId="18ED2449"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inspirational guides/materials produced: 1</w:t>
      </w:r>
    </w:p>
    <w:p w14:paraId="5C95C03C" w14:textId="77777777" w:rsidR="00E24EC1" w:rsidRDefault="00000000">
      <w:pPr>
        <w:numPr>
          <w:ilvl w:val="0"/>
          <w:numId w:val="1"/>
        </w:numPr>
        <w:pBdr>
          <w:top w:val="nil"/>
          <w:left w:val="nil"/>
          <w:bottom w:val="nil"/>
          <w:right w:val="nil"/>
          <w:between w:val="nil"/>
        </w:pBdr>
        <w:ind w:hanging="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broader educational events and public showcases: 1 online exhibition</w:t>
      </w:r>
    </w:p>
    <w:p w14:paraId="77FCB514"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34BBC710" w14:textId="77777777" w:rsidR="00E24EC1" w:rsidRDefault="00000000">
      <w:pPr>
        <w:pStyle w:val="Naslov2"/>
        <w:numPr>
          <w:ilvl w:val="1"/>
          <w:numId w:val="18"/>
        </w:numPr>
      </w:pPr>
      <w:bookmarkStart w:id="18" w:name="_heading=h.d0ho48eyou7e" w:colFirst="0" w:colLast="0"/>
      <w:bookmarkEnd w:id="18"/>
      <w:r>
        <w:t>Protection of Katuns and Cultural Landscapes (a)</w:t>
      </w:r>
    </w:p>
    <w:p w14:paraId="22D081F6" w14:textId="77777777" w:rsidR="00E24EC1" w:rsidRDefault="00000000">
      <w:pPr>
        <w:pStyle w:val="Naslov3"/>
        <w:numPr>
          <w:ilvl w:val="2"/>
          <w:numId w:val="6"/>
        </w:numPr>
      </w:pPr>
      <w:bookmarkStart w:id="19" w:name="_heading=h.v25ss6yv6acf" w:colFirst="0" w:colLast="0"/>
      <w:bookmarkEnd w:id="19"/>
      <w:r>
        <w:t>Relevance of the measure</w:t>
      </w:r>
    </w:p>
    <w:p w14:paraId="34168958"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F9FB9AD"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 katuns of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 are highland settlements that historically served as seasonal homes for pastoralist families engaged in transhumance. These structures and the cultural landscapes that surround them are not only physical manifestations of traditional livelihoods but also living records of human-nature interaction in mountainous forest zones. Despite their significance, katuns face increasing pressure from abandonment, disrepair, and the absence of legal recognition and policy frameworks.</w:t>
      </w:r>
    </w:p>
    <w:p w14:paraId="0DA31158"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43DD1B3C"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As interest in sustainable and authentic rural tourism grows, katuns present a unique opportunity for </w:t>
      </w:r>
      <w:proofErr w:type="spellStart"/>
      <w:r>
        <w:rPr>
          <w:rFonts w:ascii="Trebuchet MS" w:eastAsia="Trebuchet MS" w:hAnsi="Trebuchet MS" w:cs="Trebuchet MS"/>
          <w:color w:val="000000"/>
          <w:sz w:val="20"/>
          <w:szCs w:val="20"/>
        </w:rPr>
        <w:t>revitalisation</w:t>
      </w:r>
      <w:proofErr w:type="spellEnd"/>
      <w:r>
        <w:rPr>
          <w:rFonts w:ascii="Trebuchet MS" w:eastAsia="Trebuchet MS" w:hAnsi="Trebuchet MS" w:cs="Trebuchet MS"/>
          <w:color w:val="000000"/>
          <w:sz w:val="20"/>
          <w:szCs w:val="20"/>
        </w:rPr>
        <w:t>, heritage preservation, and cultural tourism development. Protecting these sites supports biodiversity, prevents erosion and degradation of pasture-forest mosaics, and maintains traditional knowledge embedded in architectural forms, land use, and resource management. This measure is critical for ensuring that the forest-linked cultural identity of Montenegro is preserved for future generations while offering viable pathways for economic diversification in mountain areas.</w:t>
      </w:r>
    </w:p>
    <w:p w14:paraId="146AA477"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A3430A3"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F3ABB07"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This action consists of a combination of advocacy, documentation, community </w:t>
      </w:r>
      <w:proofErr w:type="spellStart"/>
      <w:r>
        <w:rPr>
          <w:rFonts w:ascii="Trebuchet MS" w:eastAsia="Trebuchet MS" w:hAnsi="Trebuchet MS" w:cs="Trebuchet MS"/>
          <w:color w:val="000000"/>
          <w:sz w:val="20"/>
          <w:szCs w:val="20"/>
        </w:rPr>
        <w:t>mobilisation</w:t>
      </w:r>
      <w:proofErr w:type="spellEnd"/>
      <w:r>
        <w:rPr>
          <w:rFonts w:ascii="Trebuchet MS" w:eastAsia="Trebuchet MS" w:hAnsi="Trebuchet MS" w:cs="Trebuchet MS"/>
          <w:color w:val="000000"/>
          <w:sz w:val="20"/>
          <w:szCs w:val="20"/>
        </w:rPr>
        <w:t xml:space="preserve">, and small-scale restoration support to promote the legal protection and sustainable use of katuns. The focus is on both safeguarding physical structures and </w:t>
      </w:r>
      <w:proofErr w:type="spellStart"/>
      <w:r>
        <w:rPr>
          <w:rFonts w:ascii="Trebuchet MS" w:eastAsia="Trebuchet MS" w:hAnsi="Trebuchet MS" w:cs="Trebuchet MS"/>
          <w:color w:val="000000"/>
          <w:sz w:val="20"/>
          <w:szCs w:val="20"/>
        </w:rPr>
        <w:t>revitalising</w:t>
      </w:r>
      <w:proofErr w:type="spellEnd"/>
      <w:r>
        <w:rPr>
          <w:rFonts w:ascii="Trebuchet MS" w:eastAsia="Trebuchet MS" w:hAnsi="Trebuchet MS" w:cs="Trebuchet MS"/>
          <w:color w:val="000000"/>
          <w:sz w:val="20"/>
          <w:szCs w:val="20"/>
        </w:rPr>
        <w:t xml:space="preserve"> their cultural and environmental function as seasonal hubs of rural life.</w:t>
      </w:r>
    </w:p>
    <w:p w14:paraId="2B25BEE8"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6219891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It includes awareness-raising activities, coordination with relevant ministries and municipalities to improve recognition and protection status of katuns, and provision of guidance for households wishing to maintain or adapt their katuns for contemporary use. The action also aims to foster culture and knowledge transmission among communities about traditional construction methods, forest-linked livelihoods, and ecological land-use patterns that have coexisted with local biodiversity for centuries.</w:t>
      </w:r>
    </w:p>
    <w:p w14:paraId="08AC59A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6F6F9AF"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BD58F01" w14:textId="77777777" w:rsidR="00E24EC1" w:rsidRDefault="00000000">
      <w:pPr>
        <w:pStyle w:val="Naslov3"/>
        <w:numPr>
          <w:ilvl w:val="2"/>
          <w:numId w:val="19"/>
        </w:numPr>
      </w:pPr>
      <w:bookmarkStart w:id="20" w:name="_heading=h.25f42z2quj6v" w:colFirst="0" w:colLast="0"/>
      <w:bookmarkEnd w:id="20"/>
      <w:r>
        <w:t>Activities performed under the Action</w:t>
      </w:r>
    </w:p>
    <w:p w14:paraId="2ADC10CD"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77D507A"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This action begins with the mapping and assessment of existing katun sites across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 including an inventory of architectural elements, historical use, and </w:t>
      </w:r>
      <w:proofErr w:type="gramStart"/>
      <w:r>
        <w:rPr>
          <w:rFonts w:ascii="Trebuchet MS" w:eastAsia="Trebuchet MS" w:hAnsi="Trebuchet MS" w:cs="Trebuchet MS"/>
          <w:color w:val="000000"/>
          <w:sz w:val="20"/>
          <w:szCs w:val="20"/>
        </w:rPr>
        <w:t>current status</w:t>
      </w:r>
      <w:proofErr w:type="gramEnd"/>
      <w:r>
        <w:rPr>
          <w:rFonts w:ascii="Trebuchet MS" w:eastAsia="Trebuchet MS" w:hAnsi="Trebuchet MS" w:cs="Trebuchet MS"/>
          <w:color w:val="000000"/>
          <w:sz w:val="20"/>
          <w:szCs w:val="20"/>
        </w:rPr>
        <w:t xml:space="preserve">. Alongside documentation, consultations will be held with local families, elders, and community leaders to gather oral histories and traditional knowledge related to katun management </w:t>
      </w:r>
      <w:r>
        <w:rPr>
          <w:rFonts w:ascii="Trebuchet MS" w:eastAsia="Trebuchet MS" w:hAnsi="Trebuchet MS" w:cs="Trebuchet MS"/>
          <w:color w:val="000000"/>
          <w:sz w:val="20"/>
          <w:szCs w:val="20"/>
        </w:rPr>
        <w:lastRenderedPageBreak/>
        <w:t>and forest use. Based on this input, small-scale conservation and adaptive reuse projects will be initiated in partnership with local stakeholders.</w:t>
      </w:r>
    </w:p>
    <w:p w14:paraId="7D854783"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7D155BB5"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Training and mentoring activities will be organized to support families in maintaining wooden architectural features using traditional techniques. Pilot interpretation activities will also be designed to help integrate katuns into existing and future thematic trails linked to the Danube Wood(s)Route.</w:t>
      </w:r>
    </w:p>
    <w:p w14:paraId="376C16FB"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48BA6822"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Importantly, this action will also pursue both national and international recognition of katuns as unique cultural landscapes. At the national level, collaboration will be sought with cultural heritage institutions to include katuns in registries and protection schemes. At the international level, the initiative will contribute to the application for designation under the FAO’s Globally Important Agricultural Heritage Systems (GIAHS)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This recognition would reinforce the value of katuns as living heritage systems and mobilize further conservation and promotional efforts.</w:t>
      </w:r>
    </w:p>
    <w:p w14:paraId="3239CF19"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6ECAB763"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Outreach and educational materials will be produced to promote understanding of the ecological and cultural role of katuns among visitors, youth, and the broader public. Partnerships will also be strengthened with academic institutions and national parks to ensure long-term monitoring and sustainability.</w:t>
      </w:r>
    </w:p>
    <w:p w14:paraId="71EA51D7"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5528F21" w14:textId="77777777" w:rsidR="00E24EC1" w:rsidRDefault="00000000">
      <w:pPr>
        <w:pStyle w:val="Naslov3"/>
        <w:numPr>
          <w:ilvl w:val="2"/>
          <w:numId w:val="19"/>
        </w:numPr>
      </w:pPr>
      <w:bookmarkStart w:id="21" w:name="_heading=h.vhi7ek5sfy29" w:colFirst="0" w:colLast="0"/>
      <w:bookmarkEnd w:id="21"/>
      <w:r>
        <w:t>Potential Danube Wood(s) Cultural Route points involved</w:t>
      </w:r>
    </w:p>
    <w:p w14:paraId="0B49BFBB" w14:textId="77777777" w:rsidR="00E24EC1" w:rsidRDefault="00E24EC1">
      <w:pPr>
        <w:pBdr>
          <w:top w:val="nil"/>
          <w:left w:val="nil"/>
          <w:bottom w:val="nil"/>
          <w:right w:val="nil"/>
          <w:between w:val="nil"/>
        </w:pBdr>
        <w:rPr>
          <w:rFonts w:ascii="Trebuchet MS" w:eastAsia="Trebuchet MS" w:hAnsi="Trebuchet MS" w:cs="Trebuchet MS"/>
          <w:b/>
          <w:color w:val="000000"/>
        </w:rPr>
      </w:pPr>
    </w:p>
    <w:p w14:paraId="274D1B23"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Katuns are emblematic forest-pasture systems that encapsulate the deep historical connection between humans and mountainous forest landscapes. Within the framework of the Danube Wood(s) Cultural Route, they represent invaluable cultural markers that can enrich the narrative of forest-related heritage across the region. These seasonal settlements illustrate a unique form of land use, combining livestock grazing, vernacular wooden architecture, and traditional forest resource management.</w:t>
      </w:r>
    </w:p>
    <w:p w14:paraId="5416DC04" w14:textId="77777777" w:rsidR="00E24EC1" w:rsidRDefault="00E24EC1">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p>
    <w:p w14:paraId="0C03582D"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 katuns occupy ecologically and scenically significant locations along mountain ridges, forest edges, and pasture belts. Their integration into the Cultural Route offers opportunities for multi-sensory interpretation and meaningful visitor engagement. Visitors can experience the spatial layout of traditional katun compounds, learn about tools and practices associated with forest-based livelihoods, and explore the ecological functions of seasonal grazing in maintaining biodiversity.</w:t>
      </w:r>
    </w:p>
    <w:p w14:paraId="775A7E33" w14:textId="77777777" w:rsidR="00E24EC1" w:rsidRDefault="00E24EC1">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p>
    <w:p w14:paraId="65A87225"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As the action progresses, selected katuns can become pilot interpretation points with signage, storytelling features, and mobile-friendly digital content. These sites will not only reflect the diversity of forest culture in Montenegro but also illustrate how communities historically adapted to highland environments through sustainable and climate-resilient practices.</w:t>
      </w:r>
    </w:p>
    <w:p w14:paraId="0A2FECF5" w14:textId="77777777" w:rsidR="00E24EC1" w:rsidRDefault="00E24EC1">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p>
    <w:p w14:paraId="6BA21B9D"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Their inclusion in the Danube Wood(s)Route will enhance cross-border visibility, stimulate cultural tourism in lesser-known areas, and support the broader mission of protecting and </w:t>
      </w:r>
      <w:proofErr w:type="spellStart"/>
      <w:r>
        <w:rPr>
          <w:rFonts w:ascii="Trebuchet MS" w:eastAsia="Trebuchet MS" w:hAnsi="Trebuchet MS" w:cs="Trebuchet MS"/>
          <w:color w:val="000000"/>
          <w:sz w:val="20"/>
          <w:szCs w:val="20"/>
        </w:rPr>
        <w:t>valorising</w:t>
      </w:r>
      <w:proofErr w:type="spellEnd"/>
      <w:r>
        <w:rPr>
          <w:rFonts w:ascii="Trebuchet MS" w:eastAsia="Trebuchet MS" w:hAnsi="Trebuchet MS" w:cs="Trebuchet MS"/>
          <w:color w:val="000000"/>
          <w:sz w:val="20"/>
          <w:szCs w:val="20"/>
        </w:rPr>
        <w:t xml:space="preserve"> traditional forest-linked lifestyles.</w:t>
      </w:r>
    </w:p>
    <w:p w14:paraId="450A411C" w14:textId="77777777" w:rsidR="00E24EC1" w:rsidRDefault="00E24EC1">
      <w:pPr>
        <w:pBdr>
          <w:top w:val="nil"/>
          <w:left w:val="nil"/>
          <w:bottom w:val="nil"/>
          <w:right w:val="nil"/>
          <w:between w:val="nil"/>
        </w:pBdr>
        <w:tabs>
          <w:tab w:val="left" w:pos="851"/>
        </w:tabs>
      </w:pPr>
    </w:p>
    <w:p w14:paraId="35709861" w14:textId="77777777" w:rsidR="00E24EC1" w:rsidRDefault="00000000">
      <w:pPr>
        <w:pStyle w:val="Naslov3"/>
        <w:numPr>
          <w:ilvl w:val="2"/>
          <w:numId w:val="19"/>
        </w:numPr>
      </w:pPr>
      <w:bookmarkStart w:id="22" w:name="_heading=h.xax2k8pt41xe" w:colFirst="0" w:colLast="0"/>
      <w:bookmarkEnd w:id="22"/>
      <w:r>
        <w:t>Stakeholders involved</w:t>
      </w:r>
    </w:p>
    <w:p w14:paraId="3B928679"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F3DA380"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 implementation of this action will be coordinated by the Regional Development Agency for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working closely with local katun communities, municipalities, and relevant ministries. Heritage institutions, agricultural services, and environmental protection agencies will be engaged in shaping the recognition strategy and supporting the GIAHS nomination process.</w:t>
      </w:r>
    </w:p>
    <w:p w14:paraId="7AB653A4" w14:textId="77777777" w:rsidR="00E24EC1" w:rsidRDefault="00E24EC1">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p>
    <w:p w14:paraId="3FB3BB61"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Community-based </w:t>
      </w:r>
      <w:proofErr w:type="spellStart"/>
      <w:r>
        <w:rPr>
          <w:rFonts w:ascii="Trebuchet MS" w:eastAsia="Trebuchet MS" w:hAnsi="Trebuchet MS" w:cs="Trebuchet MS"/>
          <w:color w:val="000000"/>
          <w:sz w:val="20"/>
          <w:szCs w:val="20"/>
        </w:rPr>
        <w:t>organisations</w:t>
      </w:r>
      <w:proofErr w:type="spellEnd"/>
      <w:r>
        <w:rPr>
          <w:rFonts w:ascii="Trebuchet MS" w:eastAsia="Trebuchet MS" w:hAnsi="Trebuchet MS" w:cs="Trebuchet MS"/>
          <w:color w:val="000000"/>
          <w:sz w:val="20"/>
          <w:szCs w:val="20"/>
        </w:rPr>
        <w:t>, women’s groups, and youth associations will contribute to outreach and intergenerational knowledge transfer, while academic and research institutions will support mapping, documentation, and the development of scientific arguments for heritage value. Cooperation with national parks and tourism boards will ensure alignment with existing development plans and visibility across sectors.</w:t>
      </w:r>
    </w:p>
    <w:p w14:paraId="6D285B5E" w14:textId="77777777" w:rsidR="00E24EC1" w:rsidRDefault="00E24EC1">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p>
    <w:p w14:paraId="40460AE7" w14:textId="77777777" w:rsidR="00E24EC1" w:rsidRDefault="00000000">
      <w:pPr>
        <w:pBdr>
          <w:top w:val="nil"/>
          <w:left w:val="nil"/>
          <w:bottom w:val="nil"/>
          <w:right w:val="nil"/>
          <w:between w:val="nil"/>
        </w:pBdr>
        <w:tabs>
          <w:tab w:val="left" w:pos="851"/>
        </w:tabs>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Through this multi-stakeholder approach, the action will not only safeguard physical and intangible heritage but also build the institutional and social basis for long-term stewardship of katun landscapes.</w:t>
      </w:r>
    </w:p>
    <w:p w14:paraId="5A1D0D2B" w14:textId="77777777" w:rsidR="00E24EC1" w:rsidRDefault="00E24EC1">
      <w:pPr>
        <w:pBdr>
          <w:top w:val="nil"/>
          <w:left w:val="nil"/>
          <w:bottom w:val="nil"/>
          <w:right w:val="nil"/>
          <w:between w:val="nil"/>
        </w:pBdr>
        <w:tabs>
          <w:tab w:val="left" w:pos="851"/>
        </w:tabs>
        <w:ind w:left="993" w:hanging="426"/>
        <w:rPr>
          <w:rFonts w:ascii="Trebuchet MS" w:eastAsia="Trebuchet MS" w:hAnsi="Trebuchet MS" w:cs="Trebuchet MS"/>
          <w:color w:val="000000"/>
        </w:rPr>
      </w:pPr>
    </w:p>
    <w:p w14:paraId="278F0EE1" w14:textId="77777777" w:rsidR="00E24EC1" w:rsidRDefault="00E24EC1">
      <w:pPr>
        <w:pBdr>
          <w:top w:val="nil"/>
          <w:left w:val="nil"/>
          <w:bottom w:val="nil"/>
          <w:right w:val="nil"/>
          <w:between w:val="nil"/>
        </w:pBdr>
        <w:tabs>
          <w:tab w:val="left" w:pos="851"/>
        </w:tabs>
        <w:ind w:left="993" w:hanging="426"/>
        <w:rPr>
          <w:rFonts w:ascii="Trebuchet MS" w:eastAsia="Trebuchet MS" w:hAnsi="Trebuchet MS" w:cs="Trebuchet MS"/>
          <w:color w:val="000000"/>
        </w:rPr>
      </w:pPr>
    </w:p>
    <w:p w14:paraId="363A8290" w14:textId="77777777" w:rsidR="00E24EC1" w:rsidRDefault="00000000">
      <w:pPr>
        <w:pStyle w:val="Naslov3"/>
        <w:numPr>
          <w:ilvl w:val="2"/>
          <w:numId w:val="19"/>
        </w:numPr>
      </w:pPr>
      <w:bookmarkStart w:id="23" w:name="_heading=h.ghrh7xwbr742" w:colFirst="0" w:colLast="0"/>
      <w:bookmarkEnd w:id="23"/>
      <w:r>
        <w:t>Timeframe</w:t>
      </w:r>
    </w:p>
    <w:p w14:paraId="7DAFAA52"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57260E17" w14:textId="77777777" w:rsidR="00E24EC1" w:rsidRDefault="00000000">
      <w:pPr>
        <w:numPr>
          <w:ilvl w:val="0"/>
          <w:numId w:val="12"/>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Mapping, documentation, and outreach: 4 Month</w:t>
      </w:r>
    </w:p>
    <w:p w14:paraId="69F75D66" w14:textId="77777777" w:rsidR="00E24EC1" w:rsidRDefault="00000000">
      <w:pPr>
        <w:numPr>
          <w:ilvl w:val="0"/>
          <w:numId w:val="12"/>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GIAHS application preparation and stakeholder coordination: 7 Month </w:t>
      </w:r>
    </w:p>
    <w:p w14:paraId="51C6F21D"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8431721" w14:textId="77777777" w:rsidR="00E24EC1" w:rsidRDefault="00000000">
      <w:pPr>
        <w:numPr>
          <w:ilvl w:val="0"/>
          <w:numId w:val="12"/>
        </w:numPr>
        <w:pBdr>
          <w:top w:val="nil"/>
          <w:left w:val="nil"/>
          <w:bottom w:val="nil"/>
          <w:right w:val="nil"/>
          <w:between w:val="nil"/>
        </w:pBdr>
        <w:rPr>
          <w:color w:val="000000"/>
          <w:sz w:val="20"/>
          <w:szCs w:val="20"/>
        </w:rPr>
      </w:pPr>
      <w:r>
        <w:rPr>
          <w:rFonts w:ascii="Trebuchet MS" w:eastAsia="Trebuchet MS" w:hAnsi="Trebuchet MS" w:cs="Trebuchet MS"/>
          <w:color w:val="000000"/>
          <w:sz w:val="20"/>
          <w:szCs w:val="20"/>
        </w:rPr>
        <w:t xml:space="preserve">Awareness-raising and promotional campaign: 2 Month </w:t>
      </w:r>
    </w:p>
    <w:p w14:paraId="20DB299A"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12D7BFE8" w14:textId="77777777" w:rsidR="00E24EC1" w:rsidRDefault="00E24EC1">
      <w:pPr>
        <w:pBdr>
          <w:top w:val="nil"/>
          <w:left w:val="nil"/>
          <w:bottom w:val="nil"/>
          <w:right w:val="nil"/>
          <w:between w:val="nil"/>
        </w:pBdr>
      </w:pPr>
    </w:p>
    <w:p w14:paraId="79E9DB47" w14:textId="77777777" w:rsidR="00E24EC1" w:rsidRDefault="00000000">
      <w:pPr>
        <w:pStyle w:val="Naslov3"/>
        <w:numPr>
          <w:ilvl w:val="2"/>
          <w:numId w:val="19"/>
        </w:numPr>
      </w:pPr>
      <w:bookmarkStart w:id="24" w:name="_heading=h.70g8eqsb6zhb" w:colFirst="0" w:colLast="0"/>
      <w:bookmarkEnd w:id="24"/>
      <w:r>
        <w:t>Indicative costs</w:t>
      </w:r>
    </w:p>
    <w:p w14:paraId="1B8E353F" w14:textId="77777777" w:rsidR="00E24EC1" w:rsidRDefault="00000000">
      <w:pPr>
        <w:numPr>
          <w:ilvl w:val="0"/>
          <w:numId w:val="13"/>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Mapping, field visits, and documentation: €3,000</w:t>
      </w:r>
    </w:p>
    <w:p w14:paraId="399D6E81" w14:textId="77777777" w:rsidR="00E24EC1" w:rsidRDefault="00E24EC1">
      <w:pPr>
        <w:pBdr>
          <w:top w:val="nil"/>
          <w:left w:val="nil"/>
          <w:bottom w:val="nil"/>
          <w:right w:val="nil"/>
          <w:between w:val="nil"/>
        </w:pBdr>
        <w:ind w:left="360"/>
        <w:rPr>
          <w:rFonts w:ascii="Trebuchet MS" w:eastAsia="Trebuchet MS" w:hAnsi="Trebuchet MS" w:cs="Trebuchet MS"/>
          <w:color w:val="000000"/>
          <w:sz w:val="20"/>
          <w:szCs w:val="20"/>
        </w:rPr>
      </w:pPr>
    </w:p>
    <w:p w14:paraId="67A522AD" w14:textId="77777777" w:rsidR="00E24EC1" w:rsidRDefault="00000000">
      <w:pPr>
        <w:numPr>
          <w:ilvl w:val="0"/>
          <w:numId w:val="13"/>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GIAHS application development and coordination: €5,000</w:t>
      </w:r>
    </w:p>
    <w:p w14:paraId="4530428E" w14:textId="77777777" w:rsidR="00E24EC1" w:rsidRDefault="00E24EC1">
      <w:pPr>
        <w:pBdr>
          <w:top w:val="nil"/>
          <w:left w:val="nil"/>
          <w:bottom w:val="nil"/>
          <w:right w:val="nil"/>
          <w:between w:val="nil"/>
        </w:pBdr>
        <w:ind w:left="360"/>
        <w:rPr>
          <w:rFonts w:ascii="Trebuchet MS" w:eastAsia="Trebuchet MS" w:hAnsi="Trebuchet MS" w:cs="Trebuchet MS"/>
          <w:color w:val="000000"/>
          <w:sz w:val="20"/>
          <w:szCs w:val="20"/>
        </w:rPr>
      </w:pPr>
    </w:p>
    <w:p w14:paraId="67761727" w14:textId="77777777" w:rsidR="00E24EC1" w:rsidRDefault="00000000">
      <w:pPr>
        <w:numPr>
          <w:ilvl w:val="0"/>
          <w:numId w:val="13"/>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Interpretation, signage, and outreach: €4,000</w:t>
      </w:r>
    </w:p>
    <w:p w14:paraId="38631DA4" w14:textId="77777777" w:rsidR="00E24EC1" w:rsidRDefault="00E24EC1">
      <w:pPr>
        <w:pBdr>
          <w:top w:val="nil"/>
          <w:left w:val="nil"/>
          <w:bottom w:val="nil"/>
          <w:right w:val="nil"/>
          <w:between w:val="nil"/>
        </w:pBdr>
        <w:ind w:left="360"/>
        <w:rPr>
          <w:rFonts w:ascii="Trebuchet MS" w:eastAsia="Trebuchet MS" w:hAnsi="Trebuchet MS" w:cs="Trebuchet MS"/>
          <w:color w:val="000000"/>
          <w:sz w:val="20"/>
          <w:szCs w:val="20"/>
        </w:rPr>
      </w:pPr>
    </w:p>
    <w:p w14:paraId="4D74FAB0" w14:textId="77777777" w:rsidR="00E24EC1" w:rsidRDefault="00000000">
      <w:pPr>
        <w:numPr>
          <w:ilvl w:val="0"/>
          <w:numId w:val="13"/>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Coordination and expert support: €3,000</w:t>
      </w:r>
    </w:p>
    <w:p w14:paraId="1BC2112D" w14:textId="77777777" w:rsidR="00E24EC1" w:rsidRDefault="00E24EC1">
      <w:pPr>
        <w:pBdr>
          <w:top w:val="nil"/>
          <w:left w:val="nil"/>
          <w:bottom w:val="nil"/>
          <w:right w:val="nil"/>
          <w:between w:val="nil"/>
        </w:pBdr>
        <w:ind w:left="720"/>
        <w:rPr>
          <w:rFonts w:ascii="Trebuchet MS" w:eastAsia="Trebuchet MS" w:hAnsi="Trebuchet MS" w:cs="Trebuchet MS"/>
          <w:color w:val="000000"/>
          <w:sz w:val="20"/>
          <w:szCs w:val="20"/>
        </w:rPr>
      </w:pPr>
    </w:p>
    <w:p w14:paraId="7F1999A6"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Total estimated cost: €15,000</w:t>
      </w:r>
    </w:p>
    <w:p w14:paraId="14287F40"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70A67D29" w14:textId="77777777" w:rsidR="00E24EC1" w:rsidRDefault="00000000">
      <w:pPr>
        <w:pStyle w:val="Naslov3"/>
        <w:numPr>
          <w:ilvl w:val="2"/>
          <w:numId w:val="19"/>
        </w:numPr>
      </w:pPr>
      <w:bookmarkStart w:id="25" w:name="_heading=h.yk49arr48zw9" w:colFirst="0" w:colLast="0"/>
      <w:bookmarkEnd w:id="25"/>
      <w:r>
        <w:t>Output and result indicators</w:t>
      </w:r>
    </w:p>
    <w:p w14:paraId="3E1C6F9A" w14:textId="77777777" w:rsidR="00E24EC1" w:rsidRDefault="00000000">
      <w:pPr>
        <w:numPr>
          <w:ilvl w:val="0"/>
          <w:numId w:val="14"/>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katun sites mapped and documented: 50-70</w:t>
      </w:r>
    </w:p>
    <w:p w14:paraId="63F23B63"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EDD3A00" w14:textId="77777777" w:rsidR="00E24EC1" w:rsidRDefault="00000000">
      <w:pPr>
        <w:numPr>
          <w:ilvl w:val="0"/>
          <w:numId w:val="14"/>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community members engaged: 50+</w:t>
      </w:r>
    </w:p>
    <w:p w14:paraId="6807078F"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70B9F8ED" w14:textId="77777777" w:rsidR="00E24EC1" w:rsidRDefault="00000000">
      <w:pPr>
        <w:numPr>
          <w:ilvl w:val="0"/>
          <w:numId w:val="14"/>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Number of awareness-raising activities conducted: 2</w:t>
      </w:r>
    </w:p>
    <w:p w14:paraId="298F7F3B"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0110B9E7" w14:textId="77777777" w:rsidR="00E24EC1" w:rsidRDefault="00000000">
      <w:pPr>
        <w:numPr>
          <w:ilvl w:val="0"/>
          <w:numId w:val="14"/>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GIAHS application submitted: 1</w:t>
      </w:r>
    </w:p>
    <w:p w14:paraId="79B8809F"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362B4C53" w14:textId="77777777" w:rsidR="00E24EC1" w:rsidRDefault="00000000">
      <w:pPr>
        <w:numPr>
          <w:ilvl w:val="0"/>
          <w:numId w:val="14"/>
        </w:numPr>
        <w:pBdr>
          <w:top w:val="nil"/>
          <w:left w:val="nil"/>
          <w:bottom w:val="nil"/>
          <w:right w:val="nil"/>
          <w:between w:val="nil"/>
        </w:pBdr>
        <w:rPr>
          <w:rFonts w:ascii="Trebuchet MS" w:eastAsia="Trebuchet MS" w:hAnsi="Trebuchet MS" w:cs="Trebuchet MS"/>
          <w:color w:val="000000"/>
          <w:sz w:val="20"/>
          <w:szCs w:val="20"/>
        </w:rPr>
        <w:sectPr w:rsidR="00E24EC1">
          <w:headerReference w:type="default" r:id="rId19"/>
          <w:footerReference w:type="default" r:id="rId20"/>
          <w:pgSz w:w="11910" w:h="16840"/>
          <w:pgMar w:top="1417" w:right="1417" w:bottom="1418" w:left="1418" w:header="0" w:footer="0" w:gutter="0"/>
          <w:pgNumType w:start="1"/>
          <w:cols w:space="708"/>
          <w:titlePg/>
        </w:sectPr>
      </w:pPr>
      <w:r>
        <w:rPr>
          <w:rFonts w:ascii="Trebuchet MS" w:eastAsia="Trebuchet MS" w:hAnsi="Trebuchet MS" w:cs="Trebuchet MS"/>
          <w:color w:val="000000"/>
          <w:sz w:val="20"/>
          <w:szCs w:val="20"/>
        </w:rPr>
        <w:t>Number of partnerships supporting recognition and protection: 1</w:t>
      </w:r>
    </w:p>
    <w:p w14:paraId="361BD535" w14:textId="77777777" w:rsidR="00E24EC1" w:rsidRDefault="00000000">
      <w:pPr>
        <w:pStyle w:val="Naslov1"/>
        <w:numPr>
          <w:ilvl w:val="0"/>
          <w:numId w:val="19"/>
        </w:numPr>
      </w:pPr>
      <w:bookmarkStart w:id="26" w:name="_heading=h.y6e953le45sl" w:colFirst="0" w:colLast="0"/>
      <w:bookmarkEnd w:id="26"/>
      <w:r>
        <w:lastRenderedPageBreak/>
        <w:t>Implementation plan and monitoring system</w:t>
      </w:r>
    </w:p>
    <w:p w14:paraId="64CF2FEA" w14:textId="77777777" w:rsidR="00E24EC1" w:rsidRDefault="00000000">
      <w:pPr>
        <w:pStyle w:val="Naslov2"/>
        <w:numPr>
          <w:ilvl w:val="1"/>
          <w:numId w:val="11"/>
        </w:numPr>
      </w:pPr>
      <w:bookmarkStart w:id="27" w:name="_heading=h.uzwcbriesgm1" w:colFirst="0" w:colLast="0"/>
      <w:bookmarkEnd w:id="27"/>
      <w:r>
        <w:t>Monitoring framework</w:t>
      </w:r>
    </w:p>
    <w:p w14:paraId="7B6DFFCB"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 ensure the effectiveness of sustainable forest management and cultural heritage protection, it is essential to develop a comprehensive monitoring system. Appropriate indicators and metrics help objectively assess the progress and efficiency of Actionable measures.</w:t>
      </w:r>
    </w:p>
    <w:p w14:paraId="45FAFC24" w14:textId="77777777" w:rsidR="00E24EC1" w:rsidRDefault="00E24EC1">
      <w:pPr>
        <w:pBdr>
          <w:top w:val="nil"/>
          <w:left w:val="nil"/>
          <w:bottom w:val="nil"/>
          <w:right w:val="nil"/>
          <w:between w:val="nil"/>
        </w:pBdr>
        <w:rPr>
          <w:rFonts w:ascii="Trebuchet MS" w:eastAsia="Trebuchet MS" w:hAnsi="Trebuchet MS" w:cs="Trebuchet MS"/>
          <w:color w:val="000000"/>
        </w:rPr>
      </w:pPr>
    </w:p>
    <w:p w14:paraId="48A7D269" w14:textId="77777777" w:rsidR="00E24EC1" w:rsidRDefault="00000000">
      <w:pPr>
        <w:pStyle w:val="Naslov2"/>
        <w:numPr>
          <w:ilvl w:val="1"/>
          <w:numId w:val="11"/>
        </w:numPr>
      </w:pPr>
      <w:bookmarkStart w:id="28" w:name="_heading=h.cgm6vtcnxfg" w:colFirst="0" w:colLast="0"/>
      <w:bookmarkEnd w:id="28"/>
      <w:r>
        <w:t>Evaluation plan</w:t>
      </w:r>
    </w:p>
    <w:p w14:paraId="693FDE1C" w14:textId="77777777" w:rsidR="00E24EC1" w:rsidRDefault="00000000">
      <w:p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 ensure the effectiveness of actions, a well-developed evaluation plan is essential, enabling the regular review and fine-tuning of outcomes:</w:t>
      </w:r>
    </w:p>
    <w:p w14:paraId="5238BB73" w14:textId="77777777" w:rsidR="00E24EC1" w:rsidRDefault="00000000">
      <w:pPr>
        <w:numPr>
          <w:ilvl w:val="0"/>
          <w:numId w:val="1"/>
        </w:numPr>
        <w:pBdr>
          <w:top w:val="nil"/>
          <w:left w:val="nil"/>
          <w:bottom w:val="nil"/>
          <w:right w:val="nil"/>
          <w:between w:val="nil"/>
        </w:pBdr>
        <w:ind w:hanging="360"/>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Prepare annual reports on the progress of strategic objectives.</w:t>
      </w:r>
    </w:p>
    <w:p w14:paraId="657C1E77" w14:textId="77777777" w:rsidR="00E24EC1" w:rsidRDefault="00000000">
      <w:pPr>
        <w:numPr>
          <w:ilvl w:val="0"/>
          <w:numId w:val="1"/>
        </w:numPr>
        <w:pBdr>
          <w:top w:val="nil"/>
          <w:left w:val="nil"/>
          <w:bottom w:val="nil"/>
          <w:right w:val="nil"/>
          <w:between w:val="nil"/>
        </w:pBdr>
        <w:ind w:hanging="360"/>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Hold regular consultations with stakeholders to evaluate results and determine necessary adjustments.</w:t>
      </w:r>
    </w:p>
    <w:p w14:paraId="65A9A673" w14:textId="77777777" w:rsidR="00E24EC1" w:rsidRDefault="00000000">
      <w:pPr>
        <w:numPr>
          <w:ilvl w:val="0"/>
          <w:numId w:val="1"/>
        </w:numPr>
        <w:pBdr>
          <w:top w:val="nil"/>
          <w:left w:val="nil"/>
          <w:bottom w:val="nil"/>
          <w:right w:val="nil"/>
          <w:between w:val="nil"/>
        </w:pBdr>
        <w:ind w:hanging="360"/>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Involve independent experts to ensure the credibility of evaluations.</w:t>
      </w:r>
    </w:p>
    <w:p w14:paraId="38638735" w14:textId="77777777" w:rsidR="00E24EC1" w:rsidRDefault="00000000">
      <w:pPr>
        <w:numPr>
          <w:ilvl w:val="0"/>
          <w:numId w:val="1"/>
        </w:numPr>
        <w:pBdr>
          <w:top w:val="nil"/>
          <w:left w:val="nil"/>
          <w:bottom w:val="nil"/>
          <w:right w:val="nil"/>
          <w:between w:val="nil"/>
        </w:pBdr>
        <w:ind w:hanging="360"/>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Conduct impact assessments to analyze long-term sustainability and economic effects.</w:t>
      </w:r>
    </w:p>
    <w:p w14:paraId="5D46D8A4"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01F1E3FF" w14:textId="77777777" w:rsidR="00E24EC1" w:rsidRDefault="00E24EC1">
      <w:pPr>
        <w:pBdr>
          <w:top w:val="nil"/>
          <w:left w:val="nil"/>
          <w:bottom w:val="nil"/>
          <w:right w:val="nil"/>
          <w:between w:val="nil"/>
        </w:pBdr>
        <w:jc w:val="both"/>
        <w:rPr>
          <w:rFonts w:ascii="Trebuchet MS" w:eastAsia="Trebuchet MS" w:hAnsi="Trebuchet MS" w:cs="Trebuchet MS"/>
          <w:color w:val="000000"/>
          <w:sz w:val="20"/>
          <w:szCs w:val="20"/>
        </w:rPr>
      </w:pPr>
    </w:p>
    <w:p w14:paraId="37C46E00" w14:textId="77777777" w:rsidR="00E24EC1" w:rsidRDefault="00000000">
      <w:pPr>
        <w:pStyle w:val="Naslov2"/>
        <w:numPr>
          <w:ilvl w:val="1"/>
          <w:numId w:val="11"/>
        </w:numPr>
      </w:pPr>
      <w:bookmarkStart w:id="29" w:name="_heading=h.kisi5qfp0738" w:colFirst="0" w:colLast="0"/>
      <w:bookmarkEnd w:id="29"/>
      <w:r>
        <w:t>Action indicators</w:t>
      </w:r>
    </w:p>
    <w:p w14:paraId="05BCD0F8" w14:textId="77777777" w:rsidR="00E24EC1" w:rsidRDefault="00000000">
      <w:p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The table below shows the measurable indicators for the implementation of the actions:</w:t>
      </w:r>
    </w:p>
    <w:p w14:paraId="37A971D7" w14:textId="77777777" w:rsidR="00E24EC1" w:rsidRDefault="00E24EC1">
      <w:pPr>
        <w:pBdr>
          <w:top w:val="nil"/>
          <w:left w:val="nil"/>
          <w:bottom w:val="nil"/>
          <w:right w:val="nil"/>
          <w:between w:val="nil"/>
        </w:pBdr>
        <w:rPr>
          <w:rFonts w:ascii="Trebuchet MS" w:eastAsia="Trebuchet MS" w:hAnsi="Trebuchet MS" w:cs="Trebuchet MS"/>
          <w:color w:val="000000"/>
        </w:rPr>
      </w:pPr>
    </w:p>
    <w:tbl>
      <w:tblPr>
        <w:tblStyle w:val="af1"/>
        <w:tblW w:w="94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2384"/>
        <w:gridCol w:w="1558"/>
        <w:gridCol w:w="2042"/>
        <w:gridCol w:w="1647"/>
      </w:tblGrid>
      <w:tr w:rsidR="00E24EC1" w14:paraId="27498D9C" w14:textId="77777777">
        <w:trPr>
          <w:trHeight w:val="454"/>
          <w:jc w:val="center"/>
        </w:trPr>
        <w:tc>
          <w:tcPr>
            <w:tcW w:w="1808" w:type="dxa"/>
            <w:vMerge w:val="restart"/>
            <w:shd w:val="clear" w:color="auto" w:fill="D9D9D9"/>
          </w:tcPr>
          <w:p w14:paraId="7A812456"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Measure</w:t>
            </w:r>
          </w:p>
          <w:p w14:paraId="475BF246"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(number)</w:t>
            </w:r>
          </w:p>
        </w:tc>
        <w:tc>
          <w:tcPr>
            <w:tcW w:w="3942" w:type="dxa"/>
            <w:gridSpan w:val="2"/>
            <w:shd w:val="clear" w:color="auto" w:fill="D9D9D9"/>
          </w:tcPr>
          <w:p w14:paraId="2D6A4B29"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Indicator</w:t>
            </w:r>
          </w:p>
        </w:tc>
        <w:tc>
          <w:tcPr>
            <w:tcW w:w="2042" w:type="dxa"/>
            <w:vMerge w:val="restart"/>
            <w:shd w:val="clear" w:color="auto" w:fill="D9D9D9"/>
          </w:tcPr>
          <w:p w14:paraId="61D234AA"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How</w:t>
            </w:r>
          </w:p>
          <w:p w14:paraId="583B569E"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(method)</w:t>
            </w:r>
          </w:p>
        </w:tc>
        <w:tc>
          <w:tcPr>
            <w:tcW w:w="1647" w:type="dxa"/>
            <w:vMerge w:val="restart"/>
            <w:shd w:val="clear" w:color="auto" w:fill="D9D9D9"/>
          </w:tcPr>
          <w:p w14:paraId="7776C4B6"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Who</w:t>
            </w:r>
          </w:p>
          <w:p w14:paraId="226567BD"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 xml:space="preserve">(PP or </w:t>
            </w:r>
            <w:proofErr w:type="gramStart"/>
            <w:r>
              <w:rPr>
                <w:rFonts w:ascii="Trebuchet MS" w:eastAsia="Trebuchet MS" w:hAnsi="Trebuchet MS" w:cs="Trebuchet MS"/>
                <w:b/>
                <w:color w:val="000000"/>
              </w:rPr>
              <w:t>other</w:t>
            </w:r>
            <w:proofErr w:type="gramEnd"/>
            <w:r>
              <w:rPr>
                <w:rFonts w:ascii="Trebuchet MS" w:eastAsia="Trebuchet MS" w:hAnsi="Trebuchet MS" w:cs="Trebuchet MS"/>
                <w:b/>
                <w:color w:val="000000"/>
              </w:rPr>
              <w:t xml:space="preserve"> acronym)</w:t>
            </w:r>
          </w:p>
        </w:tc>
      </w:tr>
      <w:tr w:rsidR="00E24EC1" w14:paraId="0BE7BF5C" w14:textId="77777777">
        <w:trPr>
          <w:trHeight w:val="103"/>
          <w:jc w:val="center"/>
        </w:trPr>
        <w:tc>
          <w:tcPr>
            <w:tcW w:w="1808" w:type="dxa"/>
            <w:vMerge/>
            <w:shd w:val="clear" w:color="auto" w:fill="D9D9D9"/>
          </w:tcPr>
          <w:p w14:paraId="4BCA6C3E"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b/>
                <w:color w:val="000000"/>
              </w:rPr>
            </w:pPr>
          </w:p>
        </w:tc>
        <w:tc>
          <w:tcPr>
            <w:tcW w:w="2384" w:type="dxa"/>
            <w:shd w:val="clear" w:color="auto" w:fill="D9D9D9"/>
          </w:tcPr>
          <w:p w14:paraId="2FA766CF"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Measurement unit</w:t>
            </w:r>
          </w:p>
        </w:tc>
        <w:tc>
          <w:tcPr>
            <w:tcW w:w="1558" w:type="dxa"/>
            <w:shd w:val="clear" w:color="auto" w:fill="D9D9D9"/>
          </w:tcPr>
          <w:p w14:paraId="441FD656" w14:textId="77777777" w:rsidR="00E24EC1" w:rsidRDefault="00000000">
            <w:pPr>
              <w:jc w:val="center"/>
              <w:rPr>
                <w:rFonts w:ascii="Trebuchet MS" w:eastAsia="Trebuchet MS" w:hAnsi="Trebuchet MS" w:cs="Trebuchet MS"/>
                <w:b/>
                <w:color w:val="000000"/>
              </w:rPr>
            </w:pPr>
            <w:r>
              <w:rPr>
                <w:rFonts w:ascii="Trebuchet MS" w:eastAsia="Trebuchet MS" w:hAnsi="Trebuchet MS" w:cs="Trebuchet MS"/>
                <w:b/>
                <w:color w:val="000000"/>
              </w:rPr>
              <w:t>Value</w:t>
            </w:r>
          </w:p>
        </w:tc>
        <w:tc>
          <w:tcPr>
            <w:tcW w:w="2042" w:type="dxa"/>
            <w:vMerge/>
            <w:shd w:val="clear" w:color="auto" w:fill="D9D9D9"/>
          </w:tcPr>
          <w:p w14:paraId="146E717E"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b/>
                <w:color w:val="000000"/>
              </w:rPr>
            </w:pPr>
          </w:p>
        </w:tc>
        <w:tc>
          <w:tcPr>
            <w:tcW w:w="1647" w:type="dxa"/>
            <w:vMerge/>
            <w:shd w:val="clear" w:color="auto" w:fill="D9D9D9"/>
          </w:tcPr>
          <w:p w14:paraId="6C04B6DA" w14:textId="77777777" w:rsidR="00E24EC1" w:rsidRDefault="00E24EC1">
            <w:pPr>
              <w:widowControl w:val="0"/>
              <w:pBdr>
                <w:top w:val="nil"/>
                <w:left w:val="nil"/>
                <w:bottom w:val="nil"/>
                <w:right w:val="nil"/>
                <w:between w:val="nil"/>
              </w:pBdr>
              <w:spacing w:line="276" w:lineRule="auto"/>
              <w:rPr>
                <w:rFonts w:ascii="Trebuchet MS" w:eastAsia="Trebuchet MS" w:hAnsi="Trebuchet MS" w:cs="Trebuchet MS"/>
                <w:b/>
                <w:color w:val="000000"/>
              </w:rPr>
            </w:pPr>
          </w:p>
        </w:tc>
      </w:tr>
      <w:tr w:rsidR="00E24EC1" w14:paraId="65A3E1A9" w14:textId="77777777">
        <w:trPr>
          <w:trHeight w:val="510"/>
          <w:jc w:val="center"/>
        </w:trPr>
        <w:tc>
          <w:tcPr>
            <w:tcW w:w="1808" w:type="dxa"/>
          </w:tcPr>
          <w:p w14:paraId="54A4F121"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1</w:t>
            </w:r>
          </w:p>
        </w:tc>
        <w:tc>
          <w:tcPr>
            <w:tcW w:w="2384" w:type="dxa"/>
          </w:tcPr>
          <w:p w14:paraId="56C36E7B"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households trained and advised: 10–15</w:t>
            </w:r>
          </w:p>
          <w:p w14:paraId="22724950"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p w14:paraId="157359BB"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05462258"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10-15</w:t>
            </w:r>
          </w:p>
        </w:tc>
        <w:tc>
          <w:tcPr>
            <w:tcW w:w="2042" w:type="dxa"/>
          </w:tcPr>
          <w:p w14:paraId="6EA0416A"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 xml:space="preserve">2-3 clusters of households, and even individual households, practical work. Photos and report on activity, </w:t>
            </w:r>
            <w:proofErr w:type="spellStart"/>
            <w:r>
              <w:rPr>
                <w:rFonts w:ascii="Trebuchet MS" w:eastAsia="Trebuchet MS" w:hAnsi="Trebuchet MS" w:cs="Trebuchet MS"/>
                <w:b/>
                <w:color w:val="000000"/>
                <w:sz w:val="17"/>
                <w:szCs w:val="17"/>
              </w:rPr>
              <w:t>sign up</w:t>
            </w:r>
            <w:proofErr w:type="spellEnd"/>
            <w:r>
              <w:rPr>
                <w:rFonts w:ascii="Trebuchet MS" w:eastAsia="Trebuchet MS" w:hAnsi="Trebuchet MS" w:cs="Trebuchet MS"/>
                <w:b/>
                <w:color w:val="000000"/>
                <w:sz w:val="17"/>
                <w:szCs w:val="17"/>
              </w:rPr>
              <w:t xml:space="preserve"> sheets.</w:t>
            </w:r>
          </w:p>
        </w:tc>
        <w:tc>
          <w:tcPr>
            <w:tcW w:w="1647" w:type="dxa"/>
          </w:tcPr>
          <w:p w14:paraId="14FA693C"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RDA BKP</w:t>
            </w:r>
          </w:p>
        </w:tc>
      </w:tr>
      <w:tr w:rsidR="00E24EC1" w14:paraId="29D4C734" w14:textId="77777777">
        <w:trPr>
          <w:trHeight w:val="510"/>
          <w:jc w:val="center"/>
        </w:trPr>
        <w:tc>
          <w:tcPr>
            <w:tcW w:w="1808" w:type="dxa"/>
          </w:tcPr>
          <w:p w14:paraId="5B14F971"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1</w:t>
            </w:r>
          </w:p>
        </w:tc>
        <w:tc>
          <w:tcPr>
            <w:tcW w:w="2384" w:type="dxa"/>
          </w:tcPr>
          <w:p w14:paraId="4EB25737"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decorated interiors reflecting forest heritage</w:t>
            </w:r>
          </w:p>
          <w:p w14:paraId="2AC8B9CA"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718C47EE"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10</w:t>
            </w:r>
          </w:p>
        </w:tc>
        <w:tc>
          <w:tcPr>
            <w:tcW w:w="2042" w:type="dxa"/>
          </w:tcPr>
          <w:p w14:paraId="2DB07597"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Activity report and photos before and after.</w:t>
            </w:r>
          </w:p>
        </w:tc>
        <w:tc>
          <w:tcPr>
            <w:tcW w:w="1647" w:type="dxa"/>
          </w:tcPr>
          <w:p w14:paraId="659BECB5" w14:textId="77777777" w:rsidR="00E24EC1" w:rsidRDefault="00000000">
            <w:r>
              <w:rPr>
                <w:rFonts w:ascii="Trebuchet MS" w:eastAsia="Trebuchet MS" w:hAnsi="Trebuchet MS" w:cs="Trebuchet MS"/>
                <w:b/>
                <w:color w:val="000000"/>
                <w:sz w:val="17"/>
                <w:szCs w:val="17"/>
              </w:rPr>
              <w:t>RDA BKP</w:t>
            </w:r>
          </w:p>
        </w:tc>
      </w:tr>
      <w:tr w:rsidR="00E24EC1" w14:paraId="77D0B7CD" w14:textId="77777777">
        <w:trPr>
          <w:trHeight w:val="510"/>
          <w:jc w:val="center"/>
        </w:trPr>
        <w:tc>
          <w:tcPr>
            <w:tcW w:w="1808" w:type="dxa"/>
          </w:tcPr>
          <w:p w14:paraId="62EADB7F"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1</w:t>
            </w:r>
          </w:p>
        </w:tc>
        <w:tc>
          <w:tcPr>
            <w:tcW w:w="2384" w:type="dxa"/>
          </w:tcPr>
          <w:p w14:paraId="66F38D85"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training sessions and workshops held</w:t>
            </w:r>
          </w:p>
          <w:p w14:paraId="28892739"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30B26B82"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4-6</w:t>
            </w:r>
          </w:p>
        </w:tc>
        <w:tc>
          <w:tcPr>
            <w:tcW w:w="2042" w:type="dxa"/>
          </w:tcPr>
          <w:p w14:paraId="47D31DBD"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2-3 clusters of households, or even individual households if group will prefer it.</w:t>
            </w:r>
          </w:p>
        </w:tc>
        <w:tc>
          <w:tcPr>
            <w:tcW w:w="1647" w:type="dxa"/>
          </w:tcPr>
          <w:p w14:paraId="0928A864" w14:textId="77777777" w:rsidR="00E24EC1" w:rsidRDefault="00000000">
            <w:r>
              <w:rPr>
                <w:rFonts w:ascii="Trebuchet MS" w:eastAsia="Trebuchet MS" w:hAnsi="Trebuchet MS" w:cs="Trebuchet MS"/>
                <w:b/>
                <w:color w:val="000000"/>
                <w:sz w:val="17"/>
                <w:szCs w:val="17"/>
              </w:rPr>
              <w:t>RDA BKP</w:t>
            </w:r>
          </w:p>
        </w:tc>
      </w:tr>
      <w:tr w:rsidR="00E24EC1" w14:paraId="0C94591F" w14:textId="77777777">
        <w:trPr>
          <w:trHeight w:val="510"/>
          <w:jc w:val="center"/>
        </w:trPr>
        <w:tc>
          <w:tcPr>
            <w:tcW w:w="1808" w:type="dxa"/>
          </w:tcPr>
          <w:p w14:paraId="1D282B83"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Actions 1</w:t>
            </w:r>
          </w:p>
        </w:tc>
        <w:tc>
          <w:tcPr>
            <w:tcW w:w="2384" w:type="dxa"/>
          </w:tcPr>
          <w:p w14:paraId="2919F3C5"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inspirational guides/materials produced</w:t>
            </w:r>
          </w:p>
          <w:p w14:paraId="63A9825D"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78FB13A8"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1</w:t>
            </w:r>
          </w:p>
        </w:tc>
        <w:tc>
          <w:tcPr>
            <w:tcW w:w="2042" w:type="dxa"/>
          </w:tcPr>
          <w:p w14:paraId="532E071F"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There will be a guide developed through the activity, so it can be used by other households as educational material.</w:t>
            </w:r>
          </w:p>
        </w:tc>
        <w:tc>
          <w:tcPr>
            <w:tcW w:w="1647" w:type="dxa"/>
          </w:tcPr>
          <w:p w14:paraId="27D40A1A" w14:textId="77777777" w:rsidR="00E24EC1" w:rsidRDefault="00000000">
            <w:r>
              <w:rPr>
                <w:rFonts w:ascii="Trebuchet MS" w:eastAsia="Trebuchet MS" w:hAnsi="Trebuchet MS" w:cs="Trebuchet MS"/>
                <w:b/>
                <w:color w:val="000000"/>
                <w:sz w:val="17"/>
                <w:szCs w:val="17"/>
              </w:rPr>
              <w:t>RDA BKP</w:t>
            </w:r>
          </w:p>
        </w:tc>
      </w:tr>
      <w:tr w:rsidR="00E24EC1" w14:paraId="418B1D43" w14:textId="77777777">
        <w:trPr>
          <w:trHeight w:val="510"/>
          <w:jc w:val="center"/>
        </w:trPr>
        <w:tc>
          <w:tcPr>
            <w:tcW w:w="1808" w:type="dxa"/>
          </w:tcPr>
          <w:p w14:paraId="322BAD4A"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1</w:t>
            </w:r>
          </w:p>
        </w:tc>
        <w:tc>
          <w:tcPr>
            <w:tcW w:w="2384" w:type="dxa"/>
          </w:tcPr>
          <w:p w14:paraId="50A3BE1B"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broader educational events and public showcases: 1 online exhibition</w:t>
            </w:r>
          </w:p>
          <w:p w14:paraId="34C103ED"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w:t>
            </w:r>
          </w:p>
        </w:tc>
        <w:tc>
          <w:tcPr>
            <w:tcW w:w="1558" w:type="dxa"/>
          </w:tcPr>
          <w:p w14:paraId="6BC06713"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1</w:t>
            </w:r>
          </w:p>
        </w:tc>
        <w:tc>
          <w:tcPr>
            <w:tcW w:w="2042" w:type="dxa"/>
          </w:tcPr>
          <w:p w14:paraId="4F3F24C9"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 xml:space="preserve">Online exhibition on social networks and </w:t>
            </w:r>
            <w:proofErr w:type="gramStart"/>
            <w:r>
              <w:rPr>
                <w:rFonts w:ascii="Trebuchet MS" w:eastAsia="Trebuchet MS" w:hAnsi="Trebuchet MS" w:cs="Trebuchet MS"/>
                <w:b/>
                <w:color w:val="000000"/>
                <w:sz w:val="17"/>
                <w:szCs w:val="17"/>
              </w:rPr>
              <w:t>website</w:t>
            </w:r>
            <w:proofErr w:type="gramEnd"/>
            <w:r>
              <w:rPr>
                <w:rFonts w:ascii="Trebuchet MS" w:eastAsia="Trebuchet MS" w:hAnsi="Trebuchet MS" w:cs="Trebuchet MS"/>
                <w:b/>
                <w:color w:val="000000"/>
                <w:sz w:val="17"/>
                <w:szCs w:val="17"/>
              </w:rPr>
              <w:t xml:space="preserve"> will be </w:t>
            </w:r>
            <w:proofErr w:type="gramStart"/>
            <w:r>
              <w:rPr>
                <w:rFonts w:ascii="Trebuchet MS" w:eastAsia="Trebuchet MS" w:hAnsi="Trebuchet MS" w:cs="Trebuchet MS"/>
                <w:b/>
                <w:color w:val="000000"/>
                <w:sz w:val="17"/>
                <w:szCs w:val="17"/>
              </w:rPr>
              <w:t>made</w:t>
            </w:r>
            <w:proofErr w:type="gramEnd"/>
            <w:r>
              <w:rPr>
                <w:rFonts w:ascii="Trebuchet MS" w:eastAsia="Trebuchet MS" w:hAnsi="Trebuchet MS" w:cs="Trebuchet MS"/>
                <w:b/>
                <w:color w:val="000000"/>
                <w:sz w:val="17"/>
                <w:szCs w:val="17"/>
              </w:rPr>
              <w:t xml:space="preserve"> at the end, to demonstrate the </w:t>
            </w:r>
            <w:r>
              <w:rPr>
                <w:rFonts w:ascii="Trebuchet MS" w:eastAsia="Trebuchet MS" w:hAnsi="Trebuchet MS" w:cs="Trebuchet MS"/>
                <w:b/>
                <w:color w:val="000000"/>
                <w:sz w:val="17"/>
                <w:szCs w:val="17"/>
              </w:rPr>
              <w:lastRenderedPageBreak/>
              <w:t>process and show improvements made</w:t>
            </w:r>
          </w:p>
          <w:p w14:paraId="4473079D"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647" w:type="dxa"/>
          </w:tcPr>
          <w:p w14:paraId="0BF7EEA6" w14:textId="77777777" w:rsidR="00E24EC1" w:rsidRDefault="00000000">
            <w:r>
              <w:rPr>
                <w:rFonts w:ascii="Trebuchet MS" w:eastAsia="Trebuchet MS" w:hAnsi="Trebuchet MS" w:cs="Trebuchet MS"/>
                <w:b/>
                <w:color w:val="000000"/>
                <w:sz w:val="17"/>
                <w:szCs w:val="17"/>
              </w:rPr>
              <w:lastRenderedPageBreak/>
              <w:t>RDA BKP</w:t>
            </w:r>
          </w:p>
        </w:tc>
      </w:tr>
      <w:tr w:rsidR="00E24EC1" w14:paraId="539E0EA4" w14:textId="77777777">
        <w:trPr>
          <w:trHeight w:val="510"/>
          <w:jc w:val="center"/>
        </w:trPr>
        <w:tc>
          <w:tcPr>
            <w:tcW w:w="1808" w:type="dxa"/>
          </w:tcPr>
          <w:p w14:paraId="10EE6DB5"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2</w:t>
            </w:r>
          </w:p>
        </w:tc>
        <w:tc>
          <w:tcPr>
            <w:tcW w:w="2384" w:type="dxa"/>
          </w:tcPr>
          <w:p w14:paraId="25F36E7B"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katun sites mapped and documented</w:t>
            </w:r>
          </w:p>
          <w:p w14:paraId="06E2213B"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p w14:paraId="2C217EEB"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1C0ED6D7"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50-70</w:t>
            </w:r>
          </w:p>
        </w:tc>
        <w:tc>
          <w:tcPr>
            <w:tcW w:w="2042" w:type="dxa"/>
          </w:tcPr>
          <w:p w14:paraId="0054A4F1"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Mapping report with locations of active katuns</w:t>
            </w:r>
          </w:p>
        </w:tc>
        <w:tc>
          <w:tcPr>
            <w:tcW w:w="1647" w:type="dxa"/>
          </w:tcPr>
          <w:p w14:paraId="4A4852D2" w14:textId="77777777" w:rsidR="00E24EC1" w:rsidRDefault="00000000">
            <w:r>
              <w:rPr>
                <w:rFonts w:ascii="Trebuchet MS" w:eastAsia="Trebuchet MS" w:hAnsi="Trebuchet MS" w:cs="Trebuchet MS"/>
                <w:b/>
                <w:color w:val="000000"/>
                <w:sz w:val="17"/>
                <w:szCs w:val="17"/>
              </w:rPr>
              <w:t>RDA BKP</w:t>
            </w:r>
          </w:p>
        </w:tc>
      </w:tr>
      <w:tr w:rsidR="00E24EC1" w14:paraId="13CC17C1" w14:textId="77777777">
        <w:trPr>
          <w:trHeight w:val="510"/>
          <w:jc w:val="center"/>
        </w:trPr>
        <w:tc>
          <w:tcPr>
            <w:tcW w:w="1808" w:type="dxa"/>
          </w:tcPr>
          <w:p w14:paraId="71A49553"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2</w:t>
            </w:r>
          </w:p>
        </w:tc>
        <w:tc>
          <w:tcPr>
            <w:tcW w:w="2384" w:type="dxa"/>
          </w:tcPr>
          <w:p w14:paraId="520172A2"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community members engaged</w:t>
            </w:r>
          </w:p>
          <w:p w14:paraId="1C9796D5"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p w14:paraId="7E822505"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61D32122"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50+</w:t>
            </w:r>
          </w:p>
        </w:tc>
        <w:tc>
          <w:tcPr>
            <w:tcW w:w="2042" w:type="dxa"/>
          </w:tcPr>
          <w:p w14:paraId="7BAAF9FA"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Database with interviews conducted</w:t>
            </w:r>
          </w:p>
        </w:tc>
        <w:tc>
          <w:tcPr>
            <w:tcW w:w="1647" w:type="dxa"/>
          </w:tcPr>
          <w:p w14:paraId="6944E9D9" w14:textId="77777777" w:rsidR="00E24EC1" w:rsidRDefault="00000000">
            <w:r>
              <w:rPr>
                <w:rFonts w:ascii="Trebuchet MS" w:eastAsia="Trebuchet MS" w:hAnsi="Trebuchet MS" w:cs="Trebuchet MS"/>
                <w:b/>
                <w:color w:val="000000"/>
                <w:sz w:val="17"/>
                <w:szCs w:val="17"/>
              </w:rPr>
              <w:t>RDA BKP</w:t>
            </w:r>
          </w:p>
        </w:tc>
      </w:tr>
      <w:tr w:rsidR="00E24EC1" w14:paraId="2081A54A" w14:textId="77777777">
        <w:trPr>
          <w:trHeight w:val="510"/>
          <w:jc w:val="center"/>
        </w:trPr>
        <w:tc>
          <w:tcPr>
            <w:tcW w:w="1808" w:type="dxa"/>
          </w:tcPr>
          <w:p w14:paraId="17B80C80"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2</w:t>
            </w:r>
          </w:p>
        </w:tc>
        <w:tc>
          <w:tcPr>
            <w:tcW w:w="2384" w:type="dxa"/>
          </w:tcPr>
          <w:p w14:paraId="0AC4459F"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Number of awareness-raising activities conducted: 2</w:t>
            </w:r>
          </w:p>
          <w:p w14:paraId="26AFA44E"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p w14:paraId="3B3EF903"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79E3B629"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2</w:t>
            </w:r>
          </w:p>
        </w:tc>
        <w:tc>
          <w:tcPr>
            <w:tcW w:w="2042" w:type="dxa"/>
          </w:tcPr>
          <w:p w14:paraId="2FD04D70"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At least 2 awareness raising activities – workshops/exhibitions/media reports</w:t>
            </w:r>
          </w:p>
        </w:tc>
        <w:tc>
          <w:tcPr>
            <w:tcW w:w="1647" w:type="dxa"/>
          </w:tcPr>
          <w:p w14:paraId="653795FB" w14:textId="77777777" w:rsidR="00E24EC1" w:rsidRDefault="00000000">
            <w:r>
              <w:rPr>
                <w:rFonts w:ascii="Trebuchet MS" w:eastAsia="Trebuchet MS" w:hAnsi="Trebuchet MS" w:cs="Trebuchet MS"/>
                <w:b/>
                <w:color w:val="000000"/>
                <w:sz w:val="17"/>
                <w:szCs w:val="17"/>
              </w:rPr>
              <w:t>RDA BKP</w:t>
            </w:r>
          </w:p>
        </w:tc>
      </w:tr>
      <w:tr w:rsidR="00E24EC1" w14:paraId="1267BC4F" w14:textId="77777777">
        <w:trPr>
          <w:trHeight w:val="510"/>
          <w:jc w:val="center"/>
        </w:trPr>
        <w:tc>
          <w:tcPr>
            <w:tcW w:w="1808" w:type="dxa"/>
          </w:tcPr>
          <w:p w14:paraId="28AEB8F6"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2</w:t>
            </w:r>
          </w:p>
        </w:tc>
        <w:tc>
          <w:tcPr>
            <w:tcW w:w="2384" w:type="dxa"/>
          </w:tcPr>
          <w:p w14:paraId="51FA8E3B"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GIAHS application submitted</w:t>
            </w:r>
          </w:p>
          <w:p w14:paraId="142F579C"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p w14:paraId="7740BDE8" w14:textId="77777777" w:rsidR="00E24EC1" w:rsidRDefault="00E24EC1">
            <w:pPr>
              <w:pBdr>
                <w:top w:val="nil"/>
                <w:left w:val="nil"/>
                <w:bottom w:val="nil"/>
                <w:right w:val="nil"/>
                <w:between w:val="nil"/>
              </w:pBdr>
              <w:spacing w:line="288" w:lineRule="auto"/>
              <w:rPr>
                <w:rFonts w:ascii="Trebuchet MS" w:eastAsia="Trebuchet MS" w:hAnsi="Trebuchet MS" w:cs="Trebuchet MS"/>
                <w:b/>
                <w:color w:val="000000"/>
                <w:sz w:val="17"/>
                <w:szCs w:val="17"/>
              </w:rPr>
            </w:pPr>
          </w:p>
        </w:tc>
        <w:tc>
          <w:tcPr>
            <w:tcW w:w="1558" w:type="dxa"/>
          </w:tcPr>
          <w:p w14:paraId="09C25D01"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1</w:t>
            </w:r>
          </w:p>
        </w:tc>
        <w:tc>
          <w:tcPr>
            <w:tcW w:w="2042" w:type="dxa"/>
          </w:tcPr>
          <w:p w14:paraId="00769C40"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Application document according to GIAHS criteria</w:t>
            </w:r>
          </w:p>
        </w:tc>
        <w:tc>
          <w:tcPr>
            <w:tcW w:w="1647" w:type="dxa"/>
          </w:tcPr>
          <w:p w14:paraId="6154EF28" w14:textId="77777777" w:rsidR="00E24EC1" w:rsidRDefault="00000000">
            <w:r>
              <w:rPr>
                <w:rFonts w:ascii="Trebuchet MS" w:eastAsia="Trebuchet MS" w:hAnsi="Trebuchet MS" w:cs="Trebuchet MS"/>
                <w:b/>
                <w:color w:val="000000"/>
                <w:sz w:val="17"/>
                <w:szCs w:val="17"/>
              </w:rPr>
              <w:t>RDA BKP</w:t>
            </w:r>
          </w:p>
        </w:tc>
      </w:tr>
      <w:tr w:rsidR="00E24EC1" w14:paraId="5CFA941D" w14:textId="77777777">
        <w:trPr>
          <w:trHeight w:val="510"/>
          <w:jc w:val="center"/>
        </w:trPr>
        <w:tc>
          <w:tcPr>
            <w:tcW w:w="1808" w:type="dxa"/>
          </w:tcPr>
          <w:p w14:paraId="30AFDB6C"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Action 2</w:t>
            </w:r>
          </w:p>
        </w:tc>
        <w:tc>
          <w:tcPr>
            <w:tcW w:w="2384" w:type="dxa"/>
          </w:tcPr>
          <w:p w14:paraId="658184F7"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 xml:space="preserve">Number of partnerships supporting recognition and protection </w:t>
            </w:r>
          </w:p>
        </w:tc>
        <w:tc>
          <w:tcPr>
            <w:tcW w:w="1558" w:type="dxa"/>
          </w:tcPr>
          <w:p w14:paraId="34D6E38E" w14:textId="77777777" w:rsidR="00E24EC1" w:rsidRDefault="00000000">
            <w:pPr>
              <w:pBdr>
                <w:top w:val="nil"/>
                <w:left w:val="nil"/>
                <w:bottom w:val="nil"/>
                <w:right w:val="nil"/>
                <w:between w:val="nil"/>
              </w:pBdr>
              <w:spacing w:line="288" w:lineRule="auto"/>
              <w:jc w:val="cente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1</w:t>
            </w:r>
          </w:p>
        </w:tc>
        <w:tc>
          <w:tcPr>
            <w:tcW w:w="2042" w:type="dxa"/>
          </w:tcPr>
          <w:p w14:paraId="32E480AC" w14:textId="77777777" w:rsidR="00E24EC1" w:rsidRDefault="00000000">
            <w:pPr>
              <w:pBdr>
                <w:top w:val="nil"/>
                <w:left w:val="nil"/>
                <w:bottom w:val="nil"/>
                <w:right w:val="nil"/>
                <w:between w:val="nil"/>
              </w:pBdr>
              <w:spacing w:line="288" w:lineRule="auto"/>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 xml:space="preserve">Multi stakeholder group consisting of civil </w:t>
            </w:r>
            <w:proofErr w:type="gramStart"/>
            <w:r>
              <w:rPr>
                <w:rFonts w:ascii="Trebuchet MS" w:eastAsia="Trebuchet MS" w:hAnsi="Trebuchet MS" w:cs="Trebuchet MS"/>
                <w:b/>
                <w:color w:val="000000"/>
                <w:sz w:val="17"/>
                <w:szCs w:val="17"/>
              </w:rPr>
              <w:t>sector</w:t>
            </w:r>
            <w:proofErr w:type="gramEnd"/>
            <w:r>
              <w:rPr>
                <w:rFonts w:ascii="Trebuchet MS" w:eastAsia="Trebuchet MS" w:hAnsi="Trebuchet MS" w:cs="Trebuchet MS"/>
                <w:b/>
                <w:color w:val="000000"/>
                <w:sz w:val="17"/>
                <w:szCs w:val="17"/>
              </w:rPr>
              <w:t>, farmers</w:t>
            </w:r>
            <w:proofErr w:type="gramStart"/>
            <w:r>
              <w:rPr>
                <w:rFonts w:ascii="Trebuchet MS" w:eastAsia="Trebuchet MS" w:hAnsi="Trebuchet MS" w:cs="Trebuchet MS"/>
                <w:b/>
                <w:color w:val="000000"/>
                <w:sz w:val="17"/>
                <w:szCs w:val="17"/>
              </w:rPr>
              <w:t>, government</w:t>
            </w:r>
            <w:proofErr w:type="gramEnd"/>
            <w:r>
              <w:rPr>
                <w:rFonts w:ascii="Trebuchet MS" w:eastAsia="Trebuchet MS" w:hAnsi="Trebuchet MS" w:cs="Trebuchet MS"/>
                <w:b/>
                <w:color w:val="000000"/>
                <w:sz w:val="17"/>
                <w:szCs w:val="17"/>
              </w:rPr>
              <w:t xml:space="preserve"> institutions created to ensure GIAHS application process. </w:t>
            </w:r>
          </w:p>
        </w:tc>
        <w:tc>
          <w:tcPr>
            <w:tcW w:w="1647" w:type="dxa"/>
          </w:tcPr>
          <w:p w14:paraId="03292845" w14:textId="77777777" w:rsidR="00E24EC1" w:rsidRDefault="00000000">
            <w:pPr>
              <w:rPr>
                <w:rFonts w:ascii="Trebuchet MS" w:eastAsia="Trebuchet MS" w:hAnsi="Trebuchet MS" w:cs="Trebuchet MS"/>
                <w:b/>
                <w:color w:val="000000"/>
                <w:sz w:val="17"/>
                <w:szCs w:val="17"/>
              </w:rPr>
            </w:pPr>
            <w:r>
              <w:rPr>
                <w:rFonts w:ascii="Trebuchet MS" w:eastAsia="Trebuchet MS" w:hAnsi="Trebuchet MS" w:cs="Trebuchet MS"/>
                <w:b/>
                <w:color w:val="000000"/>
                <w:sz w:val="17"/>
                <w:szCs w:val="17"/>
              </w:rPr>
              <w:t>RDA BKP</w:t>
            </w:r>
          </w:p>
        </w:tc>
      </w:tr>
    </w:tbl>
    <w:p w14:paraId="14110D75" w14:textId="77777777" w:rsidR="00E24EC1" w:rsidRDefault="00000000">
      <w:pPr>
        <w:pBdr>
          <w:top w:val="nil"/>
          <w:left w:val="nil"/>
          <w:bottom w:val="nil"/>
          <w:right w:val="nil"/>
          <w:between w:val="nil"/>
        </w:pBdr>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5. Figure: Indicators for the implementation of actions</w:t>
      </w:r>
    </w:p>
    <w:p w14:paraId="6D3E01B7" w14:textId="77777777" w:rsidR="00E24EC1" w:rsidRDefault="00000000">
      <w:pPr>
        <w:rPr>
          <w:rFonts w:ascii="Trebuchet MS" w:eastAsia="Trebuchet MS" w:hAnsi="Trebuchet MS" w:cs="Trebuchet MS"/>
          <w:color w:val="000000"/>
        </w:rPr>
      </w:pPr>
      <w:r>
        <w:br w:type="page"/>
      </w:r>
    </w:p>
    <w:p w14:paraId="7ED4BCDE" w14:textId="77777777" w:rsidR="00E24EC1" w:rsidRDefault="00000000">
      <w:pPr>
        <w:pStyle w:val="Naslov1"/>
        <w:numPr>
          <w:ilvl w:val="0"/>
          <w:numId w:val="11"/>
        </w:numPr>
      </w:pPr>
      <w:bookmarkStart w:id="30" w:name="_heading=h.89a1itvcssh4" w:colFirst="0" w:colLast="0"/>
      <w:bookmarkEnd w:id="30"/>
      <w:r>
        <w:lastRenderedPageBreak/>
        <w:t>Potential funding opportunities</w:t>
      </w:r>
    </w:p>
    <w:p w14:paraId="425E865C"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The implementation of the proposed actionable measures—ranging from katun protection and forest heritage promotion to rural tourism development and community engagement—requires a combination of financial resources from national, regional, and international sources. Several relevant funding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and instruments align with the priorities of this Regional Action Plan and can support its implementation.</w:t>
      </w:r>
    </w:p>
    <w:p w14:paraId="3F555F0C"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492C3137"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At the national level, the Government of Montenegro offers support through sectoral ministries and agencies, particularly the Ministry of Agriculture, Forestry and Water Management; the Ministry of Culture and Media; and the Ministry of Tourism, Ecology, Sustainable Development and Development of the North. These institutions regularly publish calls related to rural development, cultural heritage, nature conservation, and regional development, which can provide support for training, mapping, promotional activities, and small-scale interventions.</w:t>
      </w:r>
    </w:p>
    <w:p w14:paraId="3F68ED5D"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3766CF38"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At the European level, multiple Interreg and CBC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provide co-financing for transnational, cross-border, and interregional cooperation actions. The following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are especially relevant:</w:t>
      </w:r>
    </w:p>
    <w:p w14:paraId="7E28674A"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F0F7AD1"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Danube Region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xml:space="preserve"> 2021–2027: Supports projects focused on environmental protection, sustainable tourism, cultural heritage, biodiversity, and green innovation. Actions related to the Danube Wood(s)Route and transnational cooperation for heritage </w:t>
      </w:r>
      <w:proofErr w:type="spellStart"/>
      <w:r>
        <w:rPr>
          <w:rFonts w:ascii="Trebuchet MS" w:eastAsia="Trebuchet MS" w:hAnsi="Trebuchet MS" w:cs="Trebuchet MS"/>
          <w:color w:val="000000"/>
          <w:sz w:val="20"/>
          <w:szCs w:val="20"/>
        </w:rPr>
        <w:t>valorisation</w:t>
      </w:r>
      <w:proofErr w:type="spellEnd"/>
      <w:r>
        <w:rPr>
          <w:rFonts w:ascii="Trebuchet MS" w:eastAsia="Trebuchet MS" w:hAnsi="Trebuchet MS" w:cs="Trebuchet MS"/>
          <w:color w:val="000000"/>
          <w:sz w:val="20"/>
          <w:szCs w:val="20"/>
        </w:rPr>
        <w:t xml:space="preserve"> fit within its priorities.</w:t>
      </w:r>
    </w:p>
    <w:p w14:paraId="3FE7845C"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Euro-MED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xml:space="preserve"> 2021–2027: Offers support for projects enhancing biodiversity, natural heritage, and sustainable tourism in Mediterranean countries, with a focus on climate adaptation and cultural landscapes.</w:t>
      </w:r>
    </w:p>
    <w:p w14:paraId="2FCD8E92"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IPA Cross-border Cooperation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xml:space="preserve"> Montenegro – Albania 2021–2027: Focuses on improving cultural and natural heritage management, community-based tourism, and cross-border environmental cooperation.</w:t>
      </w:r>
    </w:p>
    <w:p w14:paraId="7BE34603"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IPA Cross-border Cooperation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xml:space="preserve"> Montenegro – Kosovo 2021–2027: Supports local development, entrepreneurship, rural tourism, and protection of natural resources in shared border areas.</w:t>
      </w:r>
    </w:p>
    <w:p w14:paraId="5901CC29"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IPA Cross-border Cooperation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xml:space="preserve"> Montenegro – Bosnia and Herzegovina 2021–2027: Encourages sustainable rural development, cultural heritage </w:t>
      </w:r>
      <w:proofErr w:type="spellStart"/>
      <w:r>
        <w:rPr>
          <w:rFonts w:ascii="Trebuchet MS" w:eastAsia="Trebuchet MS" w:hAnsi="Trebuchet MS" w:cs="Trebuchet MS"/>
          <w:color w:val="000000"/>
          <w:sz w:val="20"/>
          <w:szCs w:val="20"/>
        </w:rPr>
        <w:t>revitalisation</w:t>
      </w:r>
      <w:proofErr w:type="spellEnd"/>
      <w:r>
        <w:rPr>
          <w:rFonts w:ascii="Trebuchet MS" w:eastAsia="Trebuchet MS" w:hAnsi="Trebuchet MS" w:cs="Trebuchet MS"/>
          <w:color w:val="000000"/>
          <w:sz w:val="20"/>
          <w:szCs w:val="20"/>
        </w:rPr>
        <w:t>, and environmental protection.</w:t>
      </w:r>
    </w:p>
    <w:p w14:paraId="35023077"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IPA Adriatic-Ionian (ADRION)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Targets macro-regional cooperation with a focus on sustainable tourism, cultural heritage, and green innovation across Adriatic and Ionian countries.</w:t>
      </w:r>
    </w:p>
    <w:p w14:paraId="300A0A77" w14:textId="77777777" w:rsidR="00E24EC1" w:rsidRDefault="00000000">
      <w:pPr>
        <w:numPr>
          <w:ilvl w:val="0"/>
          <w:numId w:val="15"/>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Interreg Europe: Although not geographically focused, this </w:t>
      </w:r>
      <w:proofErr w:type="spellStart"/>
      <w:r>
        <w:rPr>
          <w:rFonts w:ascii="Trebuchet MS" w:eastAsia="Trebuchet MS" w:hAnsi="Trebuchet MS" w:cs="Trebuchet MS"/>
          <w:color w:val="000000"/>
          <w:sz w:val="20"/>
          <w:szCs w:val="20"/>
        </w:rPr>
        <w:t>programme</w:t>
      </w:r>
      <w:proofErr w:type="spellEnd"/>
      <w:r>
        <w:rPr>
          <w:rFonts w:ascii="Trebuchet MS" w:eastAsia="Trebuchet MS" w:hAnsi="Trebuchet MS" w:cs="Trebuchet MS"/>
          <w:color w:val="000000"/>
          <w:sz w:val="20"/>
          <w:szCs w:val="20"/>
        </w:rPr>
        <w:t xml:space="preserve"> allows for the transfer of best practices and interregional policy learning in areas such as heritage preservation, climate resilience, and rural innovation.</w:t>
      </w:r>
    </w:p>
    <w:p w14:paraId="0C404AC7"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19817C14"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In addition to these EU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FAO’s GIAHS initiative represents a critical international opportunity for katun recognition and long-term conservation support. While GIAHS does not offer direct funding, it opens avenues for technical assistance, international visibility, and resource </w:t>
      </w:r>
      <w:proofErr w:type="spellStart"/>
      <w:r>
        <w:rPr>
          <w:rFonts w:ascii="Trebuchet MS" w:eastAsia="Trebuchet MS" w:hAnsi="Trebuchet MS" w:cs="Trebuchet MS"/>
          <w:color w:val="000000"/>
          <w:sz w:val="20"/>
          <w:szCs w:val="20"/>
        </w:rPr>
        <w:t>mobilisation</w:t>
      </w:r>
      <w:proofErr w:type="spellEnd"/>
      <w:r>
        <w:rPr>
          <w:rFonts w:ascii="Trebuchet MS" w:eastAsia="Trebuchet MS" w:hAnsi="Trebuchet MS" w:cs="Trebuchet MS"/>
          <w:color w:val="000000"/>
          <w:sz w:val="20"/>
          <w:szCs w:val="20"/>
        </w:rPr>
        <w:t>.</w:t>
      </w:r>
    </w:p>
    <w:p w14:paraId="1781BF32"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67908FEB" w14:textId="77777777" w:rsidR="00E24EC1" w:rsidRDefault="00000000">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Other potential funding sources include bilateral donors (e.g. GIZ, ADA, SDC), the European Bank for Reconstruction and Development (EBRD) in support of green rural economies, and private foundations focused on culture, nature, and inclusive development. Corporate Social Responsibility (CSR)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by companies operating in forestry, eco-tourism, or agribusiness may also provide co-financing for pilot initiatives or promotional activities.</w:t>
      </w:r>
    </w:p>
    <w:p w14:paraId="2FEE1166" w14:textId="77777777" w:rsidR="00E24EC1" w:rsidRDefault="00E24EC1">
      <w:pPr>
        <w:pBdr>
          <w:top w:val="nil"/>
          <w:left w:val="nil"/>
          <w:bottom w:val="nil"/>
          <w:right w:val="nil"/>
          <w:between w:val="nil"/>
        </w:pBdr>
        <w:rPr>
          <w:rFonts w:ascii="Trebuchet MS" w:eastAsia="Trebuchet MS" w:hAnsi="Trebuchet MS" w:cs="Trebuchet MS"/>
          <w:color w:val="000000"/>
          <w:sz w:val="20"/>
          <w:szCs w:val="20"/>
        </w:rPr>
      </w:pPr>
    </w:p>
    <w:p w14:paraId="5B1E4687" w14:textId="77777777" w:rsidR="00E24EC1" w:rsidRDefault="00000000">
      <w:pPr>
        <w:pBdr>
          <w:top w:val="nil"/>
          <w:left w:val="nil"/>
          <w:bottom w:val="nil"/>
          <w:right w:val="nil"/>
          <w:between w:val="nil"/>
        </w:pBdr>
      </w:pPr>
      <w:r>
        <w:rPr>
          <w:rFonts w:ascii="Trebuchet MS" w:eastAsia="Trebuchet MS" w:hAnsi="Trebuchet MS" w:cs="Trebuchet MS"/>
          <w:color w:val="000000"/>
          <w:sz w:val="20"/>
          <w:szCs w:val="20"/>
        </w:rPr>
        <w:t xml:space="preserve">By strategically aligning each measure with the objectives and criteria of these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and by leveraging partnerships with public institutions, civil society, and academia, the Regional Action Plan can be effectively resourced and translated into tangible impact across the </w:t>
      </w:r>
      <w:proofErr w:type="spellStart"/>
      <w:r>
        <w:rPr>
          <w:rFonts w:ascii="Trebuchet MS" w:eastAsia="Trebuchet MS" w:hAnsi="Trebuchet MS" w:cs="Trebuchet MS"/>
          <w:color w:val="000000"/>
          <w:sz w:val="20"/>
          <w:szCs w:val="20"/>
        </w:rPr>
        <w:t>Bjelasica</w:t>
      </w:r>
      <w:proofErr w:type="spellEnd"/>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Komovi</w:t>
      </w:r>
      <w:proofErr w:type="spellEnd"/>
      <w:r>
        <w:rPr>
          <w:rFonts w:ascii="Trebuchet MS" w:eastAsia="Trebuchet MS" w:hAnsi="Trebuchet MS" w:cs="Trebuchet MS"/>
          <w:color w:val="000000"/>
          <w:sz w:val="20"/>
          <w:szCs w:val="20"/>
        </w:rPr>
        <w:t xml:space="preserve"> and Prokletije region.</w:t>
      </w:r>
      <w:r>
        <w:br w:type="page"/>
      </w:r>
    </w:p>
    <w:p w14:paraId="33848608" w14:textId="77777777" w:rsidR="00E24EC1" w:rsidRDefault="00000000">
      <w:pPr>
        <w:pStyle w:val="Naslov1"/>
        <w:numPr>
          <w:ilvl w:val="0"/>
          <w:numId w:val="11"/>
        </w:numPr>
      </w:pPr>
      <w:bookmarkStart w:id="31" w:name="_heading=h.7mhx9j2n1ex9" w:colFirst="0" w:colLast="0"/>
      <w:bookmarkEnd w:id="31"/>
      <w:r>
        <w:lastRenderedPageBreak/>
        <w:t>Conclusion</w:t>
      </w:r>
    </w:p>
    <w:p w14:paraId="7E16A457" w14:textId="77777777" w:rsidR="00E24EC1" w:rsidRDefault="00000000">
      <w:pPr>
        <w:pStyle w:val="Naslov2"/>
        <w:numPr>
          <w:ilvl w:val="1"/>
          <w:numId w:val="11"/>
        </w:numPr>
      </w:pPr>
      <w:bookmarkStart w:id="32" w:name="_heading=h.lrr8kkmw6i65" w:colFirst="0" w:colLast="0"/>
      <w:bookmarkEnd w:id="32"/>
      <w:r>
        <w:t>Summary of key points</w:t>
      </w:r>
    </w:p>
    <w:p w14:paraId="45AB89BA" w14:textId="77777777" w:rsidR="00E24EC1" w:rsidRDefault="00000000">
      <w:pPr>
        <w:spacing w:before="280" w:after="280"/>
        <w:jc w:val="both"/>
        <w:rPr>
          <w:rFonts w:ascii="Trebuchet MS" w:eastAsia="Trebuchet MS" w:hAnsi="Trebuchet MS" w:cs="Trebuchet MS"/>
          <w:sz w:val="20"/>
          <w:szCs w:val="20"/>
        </w:rPr>
      </w:pPr>
      <w:r>
        <w:rPr>
          <w:rFonts w:ascii="Trebuchet MS" w:eastAsia="Trebuchet MS" w:hAnsi="Trebuchet MS" w:cs="Trebuchet MS"/>
          <w:sz w:val="20"/>
          <w:szCs w:val="20"/>
        </w:rPr>
        <w:t xml:space="preserve">This Regional Action Plan represents a strategic effort to safeguard and </w:t>
      </w:r>
      <w:proofErr w:type="spellStart"/>
      <w:r>
        <w:rPr>
          <w:rFonts w:ascii="Trebuchet MS" w:eastAsia="Trebuchet MS" w:hAnsi="Trebuchet MS" w:cs="Trebuchet MS"/>
          <w:sz w:val="20"/>
          <w:szCs w:val="20"/>
        </w:rPr>
        <w:t>valorise</w:t>
      </w:r>
      <w:proofErr w:type="spellEnd"/>
      <w:r>
        <w:rPr>
          <w:rFonts w:ascii="Trebuchet MS" w:eastAsia="Trebuchet MS" w:hAnsi="Trebuchet MS" w:cs="Trebuchet MS"/>
          <w:sz w:val="20"/>
          <w:szCs w:val="20"/>
        </w:rPr>
        <w:t xml:space="preserve"> forest-linked cultural heritage in the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region, with a particular focus on the traditional katuns and rural communities located near forest areas. The plan responds to both territorial needs and the shared objectives of the Danube Wood(s)Route, promoting sustainable tourism, preservation of traditional knowledge, and the </w:t>
      </w:r>
      <w:proofErr w:type="spellStart"/>
      <w:r>
        <w:rPr>
          <w:rFonts w:ascii="Trebuchet MS" w:eastAsia="Trebuchet MS" w:hAnsi="Trebuchet MS" w:cs="Trebuchet MS"/>
          <w:sz w:val="20"/>
          <w:szCs w:val="20"/>
        </w:rPr>
        <w:t>revitalisation</w:t>
      </w:r>
      <w:proofErr w:type="spellEnd"/>
      <w:r>
        <w:rPr>
          <w:rFonts w:ascii="Trebuchet MS" w:eastAsia="Trebuchet MS" w:hAnsi="Trebuchet MS" w:cs="Trebuchet MS"/>
          <w:sz w:val="20"/>
          <w:szCs w:val="20"/>
        </w:rPr>
        <w:t xml:space="preserve"> of mountain landscapes.</w:t>
      </w:r>
    </w:p>
    <w:p w14:paraId="60CF829B" w14:textId="77777777" w:rsidR="00E24EC1" w:rsidRDefault="00000000">
      <w:pPr>
        <w:spacing w:before="280" w:after="280"/>
        <w:jc w:val="both"/>
        <w:rPr>
          <w:rFonts w:ascii="Trebuchet MS" w:eastAsia="Trebuchet MS" w:hAnsi="Trebuchet MS" w:cs="Trebuchet MS"/>
          <w:sz w:val="20"/>
          <w:szCs w:val="20"/>
        </w:rPr>
      </w:pPr>
      <w:r>
        <w:rPr>
          <w:rFonts w:ascii="Trebuchet MS" w:eastAsia="Trebuchet MS" w:hAnsi="Trebuchet MS" w:cs="Trebuchet MS"/>
          <w:sz w:val="20"/>
          <w:szCs w:val="20"/>
        </w:rPr>
        <w:t>The two elaborated actionable measures—training rural tourism households to visually reflect forest heritage in their interiors and initiating steps for the national and international recognition of katuns—demonstrate how heritage-based development can be locally grounded yet regionally connected. These measures were chosen for their feasibility, strong local relevance, and transformative potential. Both aim to empower communities, enhance the visibility of intangible and tangible forest-based culture, and strengthen connections between people and their environment.</w:t>
      </w:r>
    </w:p>
    <w:p w14:paraId="13D24C94" w14:textId="77777777" w:rsidR="00E24EC1" w:rsidRDefault="00000000">
      <w:pPr>
        <w:spacing w:before="280" w:after="280"/>
        <w:jc w:val="both"/>
      </w:pPr>
      <w:r>
        <w:rPr>
          <w:rFonts w:ascii="Trebuchet MS" w:eastAsia="Trebuchet MS" w:hAnsi="Trebuchet MS" w:cs="Trebuchet MS"/>
          <w:sz w:val="20"/>
          <w:szCs w:val="20"/>
        </w:rPr>
        <w:t>The actions outlined are cost-effective, participatory, and scalable, offering models for replication in other mountainous and forested regions of Montenegro and the wider Danube macro-region. They align with EU policy objectives on cultural sustainability, climate resilience, and rural development, while reinforcing Montenegro’s potential contribution to the transnational Danube Wood(s)Route.</w:t>
      </w:r>
    </w:p>
    <w:p w14:paraId="05D07C32" w14:textId="77777777" w:rsidR="00E24EC1" w:rsidRDefault="00000000">
      <w:pPr>
        <w:pStyle w:val="Naslov2"/>
        <w:numPr>
          <w:ilvl w:val="1"/>
          <w:numId w:val="11"/>
        </w:numPr>
      </w:pPr>
      <w:bookmarkStart w:id="33" w:name="_heading=h.ha467yt1wt6u" w:colFirst="0" w:colLast="0"/>
      <w:bookmarkEnd w:id="33"/>
      <w:r>
        <w:t>Future directions and recommendations</w:t>
      </w:r>
    </w:p>
    <w:p w14:paraId="2A394702"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To ensure the successful implementation and long-term sustainability of the Regional Action Plan, several future directions are recommended:</w:t>
      </w:r>
    </w:p>
    <w:p w14:paraId="7265DE15" w14:textId="77777777" w:rsidR="00E24EC1" w:rsidRDefault="00E24EC1">
      <w:pPr>
        <w:rPr>
          <w:rFonts w:ascii="Trebuchet MS" w:eastAsia="Trebuchet MS" w:hAnsi="Trebuchet MS" w:cs="Trebuchet MS"/>
          <w:sz w:val="20"/>
          <w:szCs w:val="20"/>
        </w:rPr>
      </w:pPr>
    </w:p>
    <w:p w14:paraId="4905BAF9"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 xml:space="preserve">Strengthen institutional frameworks: Encourage inter-sectoral collaboration between cultural, environmental, tourism, and rural development stakeholders. A clear policy framework and institutional </w:t>
      </w:r>
      <w:proofErr w:type="gramStart"/>
      <w:r>
        <w:rPr>
          <w:rFonts w:ascii="Trebuchet MS" w:eastAsia="Trebuchet MS" w:hAnsi="Trebuchet MS" w:cs="Trebuchet MS"/>
          <w:sz w:val="20"/>
          <w:szCs w:val="20"/>
        </w:rPr>
        <w:t>ownership—</w:t>
      </w:r>
      <w:proofErr w:type="gramEnd"/>
      <w:r>
        <w:rPr>
          <w:rFonts w:ascii="Trebuchet MS" w:eastAsia="Trebuchet MS" w:hAnsi="Trebuchet MS" w:cs="Trebuchet MS"/>
          <w:sz w:val="20"/>
          <w:szCs w:val="20"/>
        </w:rPr>
        <w:t xml:space="preserve">especially at the national </w:t>
      </w:r>
      <w:proofErr w:type="gramStart"/>
      <w:r>
        <w:rPr>
          <w:rFonts w:ascii="Trebuchet MS" w:eastAsia="Trebuchet MS" w:hAnsi="Trebuchet MS" w:cs="Trebuchet MS"/>
          <w:sz w:val="20"/>
          <w:szCs w:val="20"/>
        </w:rPr>
        <w:t>level—</w:t>
      </w:r>
      <w:proofErr w:type="gramEnd"/>
      <w:r>
        <w:rPr>
          <w:rFonts w:ascii="Trebuchet MS" w:eastAsia="Trebuchet MS" w:hAnsi="Trebuchet MS" w:cs="Trebuchet MS"/>
          <w:sz w:val="20"/>
          <w:szCs w:val="20"/>
        </w:rPr>
        <w:t>will be critical for ensuring the continuity and formal recognition of the actions proposed.</w:t>
      </w:r>
    </w:p>
    <w:p w14:paraId="7BE2B94C" w14:textId="77777777" w:rsidR="00E24EC1" w:rsidRDefault="00E24EC1">
      <w:pPr>
        <w:rPr>
          <w:rFonts w:ascii="Trebuchet MS" w:eastAsia="Trebuchet MS" w:hAnsi="Trebuchet MS" w:cs="Trebuchet MS"/>
          <w:sz w:val="20"/>
          <w:szCs w:val="20"/>
        </w:rPr>
      </w:pPr>
    </w:p>
    <w:p w14:paraId="43EB8674"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Ensure funding continuity:</w:t>
      </w:r>
    </w:p>
    <w:p w14:paraId="3D91F512" w14:textId="77777777" w:rsidR="00E24EC1" w:rsidRDefault="00000000">
      <w:pPr>
        <w:numPr>
          <w:ilvl w:val="0"/>
          <w:numId w:val="16"/>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Secure financing from Interreg and other relevant EU and national </w:t>
      </w:r>
      <w:proofErr w:type="spellStart"/>
      <w:r>
        <w:rPr>
          <w:rFonts w:ascii="Trebuchet MS" w:eastAsia="Trebuchet MS" w:hAnsi="Trebuchet MS" w:cs="Trebuchet MS"/>
          <w:color w:val="000000"/>
          <w:sz w:val="20"/>
          <w:szCs w:val="20"/>
        </w:rPr>
        <w:t>programmes</w:t>
      </w:r>
      <w:proofErr w:type="spellEnd"/>
      <w:r>
        <w:rPr>
          <w:rFonts w:ascii="Trebuchet MS" w:eastAsia="Trebuchet MS" w:hAnsi="Trebuchet MS" w:cs="Trebuchet MS"/>
          <w:color w:val="000000"/>
          <w:sz w:val="20"/>
          <w:szCs w:val="20"/>
        </w:rPr>
        <w:t xml:space="preserve">, with coordinated planning to </w:t>
      </w:r>
      <w:proofErr w:type="spellStart"/>
      <w:r>
        <w:rPr>
          <w:rFonts w:ascii="Trebuchet MS" w:eastAsia="Trebuchet MS" w:hAnsi="Trebuchet MS" w:cs="Trebuchet MS"/>
          <w:color w:val="000000"/>
          <w:sz w:val="20"/>
          <w:szCs w:val="20"/>
        </w:rPr>
        <w:t>synchronise</w:t>
      </w:r>
      <w:proofErr w:type="spellEnd"/>
      <w:r>
        <w:rPr>
          <w:rFonts w:ascii="Trebuchet MS" w:eastAsia="Trebuchet MS" w:hAnsi="Trebuchet MS" w:cs="Trebuchet MS"/>
          <w:color w:val="000000"/>
          <w:sz w:val="20"/>
          <w:szCs w:val="20"/>
        </w:rPr>
        <w:t xml:space="preserve"> project timelines, partner roles, and measurable outputs. Diversifying funding streams through international foundations, development agencies, or private-sector sponsorship may also be explored.</w:t>
      </w:r>
    </w:p>
    <w:p w14:paraId="237380B8" w14:textId="77777777" w:rsidR="00E24EC1" w:rsidRDefault="00000000">
      <w:pPr>
        <w:numPr>
          <w:ilvl w:val="0"/>
          <w:numId w:val="16"/>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Integrate into strategic planning documents: Align the proposed measures with municipal, regional, and national development strategies, including heritage protection policies and tourism master plans, to increase policy coherence and eligibility for structural funds.</w:t>
      </w:r>
    </w:p>
    <w:p w14:paraId="211DC9C5" w14:textId="77777777" w:rsidR="00E24EC1" w:rsidRDefault="00000000">
      <w:pPr>
        <w:numPr>
          <w:ilvl w:val="0"/>
          <w:numId w:val="16"/>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Strengthen community capacity and youth engagement: Foster ongoing education and peer-learning opportunities, particularly for women and youth, who are central to the transmission of cultural knowledge and innovation in heritage-based tourism.</w:t>
      </w:r>
    </w:p>
    <w:p w14:paraId="0ED24384" w14:textId="77777777" w:rsidR="00E24EC1" w:rsidRDefault="00000000">
      <w:pPr>
        <w:numPr>
          <w:ilvl w:val="0"/>
          <w:numId w:val="16"/>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Establish monitoring and impact evaluation mechanisms: Define indicators for social, environmental, and economic impact of implemented measures. Use results to adjust strategies, promote transparency, and demonstrate value to funders and stakeholders.</w:t>
      </w:r>
    </w:p>
    <w:p w14:paraId="3374D43A" w14:textId="77777777" w:rsidR="00E24EC1" w:rsidRDefault="00000000">
      <w:pPr>
        <w:numPr>
          <w:ilvl w:val="0"/>
          <w:numId w:val="16"/>
        </w:num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Promote the region internationally: Leverage initiatives such as the GIAHS nomination to position katuns and related landscapes as unique and globally relevant heritage systems. Participation in transnational promotional activities under the Danube Wood(s)Route should be used strategically to attract responsible tourism and raise awareness of Montenegro’s mountain culture.</w:t>
      </w:r>
    </w:p>
    <w:p w14:paraId="23FE9488" w14:textId="77777777" w:rsidR="00E24EC1" w:rsidRDefault="00E24EC1">
      <w:pPr>
        <w:rPr>
          <w:rFonts w:ascii="Trebuchet MS" w:eastAsia="Trebuchet MS" w:hAnsi="Trebuchet MS" w:cs="Trebuchet MS"/>
          <w:sz w:val="20"/>
          <w:szCs w:val="20"/>
        </w:rPr>
      </w:pPr>
    </w:p>
    <w:p w14:paraId="7894E89D" w14:textId="77777777" w:rsidR="00E24EC1" w:rsidRDefault="00000000">
      <w:pPr>
        <w:rPr>
          <w:rFonts w:ascii="Trebuchet MS" w:eastAsia="Trebuchet MS" w:hAnsi="Trebuchet MS" w:cs="Trebuchet MS"/>
          <w:sz w:val="20"/>
          <w:szCs w:val="20"/>
        </w:rPr>
      </w:pPr>
      <w:r>
        <w:rPr>
          <w:rFonts w:ascii="Trebuchet MS" w:eastAsia="Trebuchet MS" w:hAnsi="Trebuchet MS" w:cs="Trebuchet MS"/>
          <w:sz w:val="20"/>
          <w:szCs w:val="20"/>
        </w:rPr>
        <w:t xml:space="preserve">With these directions, the Regional Development Agency for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 is well positioned to lead a long-term process that not only protects forest-based cultural landscapes, but also turns them into drivers of sustainable development, resilience, and pride for local communities.</w:t>
      </w:r>
    </w:p>
    <w:p w14:paraId="03ACCC9E" w14:textId="77777777" w:rsidR="00E24EC1" w:rsidRDefault="00000000">
      <w:pPr>
        <w:pStyle w:val="Naslov1"/>
        <w:numPr>
          <w:ilvl w:val="0"/>
          <w:numId w:val="11"/>
        </w:numPr>
      </w:pPr>
      <w:bookmarkStart w:id="34" w:name="_heading=h.yk2a1b7wnh78" w:colFirst="0" w:colLast="0"/>
      <w:bookmarkEnd w:id="34"/>
      <w:r>
        <w:lastRenderedPageBreak/>
        <w:t>List of sources</w:t>
      </w:r>
    </w:p>
    <w:p w14:paraId="17328D5C" w14:textId="77777777" w:rsidR="00E24EC1" w:rsidRDefault="00000000">
      <w:pPr>
        <w:spacing w:before="280" w:after="280"/>
        <w:rPr>
          <w:rFonts w:ascii="Trebuchet MS" w:eastAsia="Trebuchet MS" w:hAnsi="Trebuchet MS" w:cs="Trebuchet MS"/>
          <w:sz w:val="20"/>
          <w:szCs w:val="20"/>
        </w:rPr>
      </w:pPr>
      <w:r>
        <w:rPr>
          <w:rFonts w:ascii="Trebuchet MS" w:eastAsia="Trebuchet MS" w:hAnsi="Trebuchet MS" w:cs="Trebuchet MS"/>
          <w:sz w:val="20"/>
          <w:szCs w:val="20"/>
        </w:rPr>
        <w:t xml:space="preserve">This Regional Action Plan draws on a variety of strategic, scientific, and policy documents, as well as insights from previous project experiences and regional consultations. The following sources have informed </w:t>
      </w:r>
      <w:proofErr w:type="gramStart"/>
      <w:r>
        <w:rPr>
          <w:rFonts w:ascii="Trebuchet MS" w:eastAsia="Trebuchet MS" w:hAnsi="Trebuchet MS" w:cs="Trebuchet MS"/>
          <w:sz w:val="20"/>
          <w:szCs w:val="20"/>
        </w:rPr>
        <w:t>the</w:t>
      </w:r>
      <w:proofErr w:type="gramEnd"/>
      <w:r>
        <w:rPr>
          <w:rFonts w:ascii="Trebuchet MS" w:eastAsia="Trebuchet MS" w:hAnsi="Trebuchet MS" w:cs="Trebuchet MS"/>
          <w:sz w:val="20"/>
          <w:szCs w:val="20"/>
        </w:rPr>
        <w:t xml:space="preserve"> development of the proposed actions:</w:t>
      </w:r>
    </w:p>
    <w:p w14:paraId="0965D299" w14:textId="77777777" w:rsidR="00E24EC1" w:rsidRDefault="00000000">
      <w:pPr>
        <w:numPr>
          <w:ilvl w:val="0"/>
          <w:numId w:val="17"/>
        </w:numPr>
        <w:spacing w:before="280"/>
        <w:rPr>
          <w:rFonts w:ascii="Trebuchet MS" w:eastAsia="Trebuchet MS" w:hAnsi="Trebuchet MS" w:cs="Trebuchet MS"/>
          <w:sz w:val="20"/>
          <w:szCs w:val="20"/>
        </w:rPr>
      </w:pPr>
      <w:r>
        <w:rPr>
          <w:rFonts w:ascii="Trebuchet MS" w:eastAsia="Trebuchet MS" w:hAnsi="Trebuchet MS" w:cs="Trebuchet MS"/>
          <w:sz w:val="20"/>
          <w:szCs w:val="20"/>
        </w:rPr>
        <w:t>Danube Wood(s)Route – Project Application and Strategic Framework Documents (Interreg DRP)</w:t>
      </w:r>
    </w:p>
    <w:p w14:paraId="224CF8B2"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 xml:space="preserve">UNESCO/FAO Globally Important Agricultural Heritage Systems (GIAHS) </w:t>
      </w:r>
      <w:proofErr w:type="spellStart"/>
      <w:r>
        <w:rPr>
          <w:rFonts w:ascii="Trebuchet MS" w:eastAsia="Trebuchet MS" w:hAnsi="Trebuchet MS" w:cs="Trebuchet MS"/>
          <w:sz w:val="20"/>
          <w:szCs w:val="20"/>
        </w:rPr>
        <w:t>Programme</w:t>
      </w:r>
      <w:proofErr w:type="spellEnd"/>
      <w:r>
        <w:rPr>
          <w:rFonts w:ascii="Trebuchet MS" w:eastAsia="Trebuchet MS" w:hAnsi="Trebuchet MS" w:cs="Trebuchet MS"/>
          <w:sz w:val="20"/>
          <w:szCs w:val="20"/>
        </w:rPr>
        <w:t xml:space="preserve"> Criteria and Guidelines</w:t>
      </w:r>
    </w:p>
    <w:p w14:paraId="7DED9895"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FAO (2021). Guidelines for the Designation and Management of GIAHS</w:t>
      </w:r>
    </w:p>
    <w:p w14:paraId="1F0376C1"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 xml:space="preserve">Montenegro Strategy for the Protection and </w:t>
      </w:r>
      <w:proofErr w:type="spellStart"/>
      <w:r>
        <w:rPr>
          <w:rFonts w:ascii="Trebuchet MS" w:eastAsia="Trebuchet MS" w:hAnsi="Trebuchet MS" w:cs="Trebuchet MS"/>
          <w:sz w:val="20"/>
          <w:szCs w:val="20"/>
        </w:rPr>
        <w:t>Valorisation</w:t>
      </w:r>
      <w:proofErr w:type="spellEnd"/>
      <w:r>
        <w:rPr>
          <w:rFonts w:ascii="Trebuchet MS" w:eastAsia="Trebuchet MS" w:hAnsi="Trebuchet MS" w:cs="Trebuchet MS"/>
          <w:sz w:val="20"/>
          <w:szCs w:val="20"/>
        </w:rPr>
        <w:t xml:space="preserve"> of Cultural Heritage (2020–2025)</w:t>
      </w:r>
    </w:p>
    <w:p w14:paraId="62EF8FDF"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Spatial Plan of Montenegro until 2040</w:t>
      </w:r>
    </w:p>
    <w:p w14:paraId="1B6F3BF9"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National Strategy for Sustainable Development of Montenegro (2016–2030)</w:t>
      </w:r>
    </w:p>
    <w:p w14:paraId="155C90C2"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National Tourism Development Strategy of Montenegro (2022–2025)</w:t>
      </w:r>
    </w:p>
    <w:p w14:paraId="1B2A1907" w14:textId="77777777" w:rsidR="00E24EC1" w:rsidRDefault="00000000">
      <w:pPr>
        <w:numPr>
          <w:ilvl w:val="0"/>
          <w:numId w:val="17"/>
        </w:numPr>
        <w:rPr>
          <w:rFonts w:ascii="Trebuchet MS" w:eastAsia="Trebuchet MS" w:hAnsi="Trebuchet MS" w:cs="Trebuchet MS"/>
          <w:sz w:val="20"/>
          <w:szCs w:val="20"/>
        </w:rPr>
      </w:pPr>
      <w:r>
        <w:rPr>
          <w:rFonts w:ascii="Trebuchet MS" w:eastAsia="Trebuchet MS" w:hAnsi="Trebuchet MS" w:cs="Trebuchet MS"/>
          <w:sz w:val="20"/>
          <w:szCs w:val="20"/>
        </w:rPr>
        <w:t xml:space="preserve">Regional Development Strategy for </w:t>
      </w:r>
      <w:proofErr w:type="spellStart"/>
      <w:r>
        <w:rPr>
          <w:rFonts w:ascii="Trebuchet MS" w:eastAsia="Trebuchet MS" w:hAnsi="Trebuchet MS" w:cs="Trebuchet MS"/>
          <w:sz w:val="20"/>
          <w:szCs w:val="20"/>
        </w:rPr>
        <w:t>Bjelasica</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Komovi</w:t>
      </w:r>
      <w:proofErr w:type="spellEnd"/>
      <w:r>
        <w:rPr>
          <w:rFonts w:ascii="Trebuchet MS" w:eastAsia="Trebuchet MS" w:hAnsi="Trebuchet MS" w:cs="Trebuchet MS"/>
          <w:sz w:val="20"/>
          <w:szCs w:val="20"/>
        </w:rPr>
        <w:t xml:space="preserve"> and Prokletije</w:t>
      </w:r>
    </w:p>
    <w:p w14:paraId="390EDE03" w14:textId="77777777" w:rsidR="00E24EC1" w:rsidRDefault="00000000">
      <w:pPr>
        <w:numPr>
          <w:ilvl w:val="0"/>
          <w:numId w:val="17"/>
        </w:numPr>
        <w:rPr>
          <w:rFonts w:ascii="Trebuchet MS" w:eastAsia="Trebuchet MS" w:hAnsi="Trebuchet MS" w:cs="Trebuchet MS"/>
          <w:sz w:val="20"/>
          <w:szCs w:val="20"/>
        </w:rPr>
      </w:pPr>
      <w:proofErr w:type="gramStart"/>
      <w:r>
        <w:rPr>
          <w:rFonts w:ascii="Trebuchet MS" w:eastAsia="Trebuchet MS" w:hAnsi="Trebuchet MS" w:cs="Trebuchet MS"/>
          <w:sz w:val="20"/>
          <w:szCs w:val="20"/>
        </w:rPr>
        <w:t>Outputs</w:t>
      </w:r>
      <w:proofErr w:type="gramEnd"/>
      <w:r>
        <w:rPr>
          <w:rFonts w:ascii="Trebuchet MS" w:eastAsia="Trebuchet MS" w:hAnsi="Trebuchet MS" w:cs="Trebuchet MS"/>
          <w:sz w:val="20"/>
          <w:szCs w:val="20"/>
        </w:rPr>
        <w:t xml:space="preserve"> and reports from relevant EU-funded projects implemented in the region, including:</w:t>
      </w:r>
    </w:p>
    <w:p w14:paraId="0A67E2F9" w14:textId="77777777" w:rsidR="00E24EC1" w:rsidRDefault="00000000">
      <w:pPr>
        <w:numPr>
          <w:ilvl w:val="1"/>
          <w:numId w:val="17"/>
        </w:numPr>
        <w:rPr>
          <w:rFonts w:ascii="Trebuchet MS" w:eastAsia="Trebuchet MS" w:hAnsi="Trebuchet MS" w:cs="Trebuchet MS"/>
          <w:sz w:val="20"/>
          <w:szCs w:val="20"/>
        </w:rPr>
      </w:pPr>
      <w:proofErr w:type="spellStart"/>
      <w:r>
        <w:rPr>
          <w:rFonts w:ascii="Trebuchet MS" w:eastAsia="Trebuchet MS" w:hAnsi="Trebuchet MS" w:cs="Trebuchet MS"/>
          <w:sz w:val="20"/>
          <w:szCs w:val="20"/>
        </w:rPr>
        <w:t>CrossReTour</w:t>
      </w:r>
      <w:proofErr w:type="spellEnd"/>
      <w:r>
        <w:rPr>
          <w:rFonts w:ascii="Trebuchet MS" w:eastAsia="Trebuchet MS" w:hAnsi="Trebuchet MS" w:cs="Trebuchet MS"/>
          <w:sz w:val="20"/>
          <w:szCs w:val="20"/>
        </w:rPr>
        <w:t xml:space="preserve"> Project (IPA CBC Montenegro–Kosovo)</w:t>
      </w:r>
    </w:p>
    <w:p w14:paraId="4E7B21AE" w14:textId="77777777" w:rsidR="00E24EC1" w:rsidRDefault="00000000">
      <w:pPr>
        <w:numPr>
          <w:ilvl w:val="1"/>
          <w:numId w:val="17"/>
        </w:numPr>
        <w:rPr>
          <w:rFonts w:ascii="Trebuchet MS" w:eastAsia="Trebuchet MS" w:hAnsi="Trebuchet MS" w:cs="Trebuchet MS"/>
          <w:sz w:val="20"/>
          <w:szCs w:val="20"/>
        </w:rPr>
      </w:pPr>
      <w:r>
        <w:rPr>
          <w:rFonts w:ascii="Trebuchet MS" w:eastAsia="Trebuchet MS" w:hAnsi="Trebuchet MS" w:cs="Trebuchet MS"/>
          <w:sz w:val="20"/>
          <w:szCs w:val="20"/>
        </w:rPr>
        <w:t>Culinary Trail (Interreg DRP)</w:t>
      </w:r>
    </w:p>
    <w:p w14:paraId="64C7E507" w14:textId="77777777" w:rsidR="00E24EC1" w:rsidRDefault="00000000">
      <w:pPr>
        <w:numPr>
          <w:ilvl w:val="1"/>
          <w:numId w:val="17"/>
        </w:numPr>
        <w:rPr>
          <w:rFonts w:ascii="Trebuchet MS" w:eastAsia="Trebuchet MS" w:hAnsi="Trebuchet MS" w:cs="Trebuchet MS"/>
          <w:sz w:val="20"/>
          <w:szCs w:val="20"/>
        </w:rPr>
      </w:pPr>
      <w:r>
        <w:rPr>
          <w:rFonts w:ascii="Trebuchet MS" w:eastAsia="Trebuchet MS" w:hAnsi="Trebuchet MS" w:cs="Trebuchet MS"/>
          <w:sz w:val="20"/>
          <w:szCs w:val="20"/>
        </w:rPr>
        <w:t>Invisible Women of Montenegro Campaign</w:t>
      </w:r>
    </w:p>
    <w:p w14:paraId="63AA2F0F" w14:textId="77777777" w:rsidR="00E24EC1" w:rsidRDefault="00000000">
      <w:pPr>
        <w:numPr>
          <w:ilvl w:val="0"/>
          <w:numId w:val="17"/>
        </w:numPr>
        <w:spacing w:after="280"/>
        <w:rPr>
          <w:rFonts w:ascii="Trebuchet MS" w:eastAsia="Trebuchet MS" w:hAnsi="Trebuchet MS" w:cs="Trebuchet MS"/>
          <w:sz w:val="20"/>
          <w:szCs w:val="20"/>
        </w:rPr>
      </w:pPr>
      <w:r>
        <w:rPr>
          <w:rFonts w:ascii="Trebuchet MS" w:eastAsia="Trebuchet MS" w:hAnsi="Trebuchet MS" w:cs="Trebuchet MS"/>
          <w:sz w:val="20"/>
          <w:szCs w:val="20"/>
        </w:rPr>
        <w:t>Interviews and field inputs from local stakeholders, municipal authorities, rural tourism providers, and katun community members (2024–2025)</w:t>
      </w:r>
    </w:p>
    <w:p w14:paraId="12DC3369" w14:textId="77777777" w:rsidR="00E24EC1" w:rsidRDefault="00000000">
      <w:pPr>
        <w:spacing w:before="280" w:after="280"/>
        <w:rPr>
          <w:rFonts w:ascii="Trebuchet MS" w:eastAsia="Trebuchet MS" w:hAnsi="Trebuchet MS" w:cs="Trebuchet MS"/>
          <w:sz w:val="20"/>
          <w:szCs w:val="20"/>
        </w:rPr>
      </w:pPr>
      <w:r>
        <w:rPr>
          <w:rFonts w:ascii="Trebuchet MS" w:eastAsia="Trebuchet MS" w:hAnsi="Trebuchet MS" w:cs="Trebuchet MS"/>
          <w:sz w:val="20"/>
          <w:szCs w:val="20"/>
        </w:rPr>
        <w:t>Where applicable, additional knowledge has been integrated from academic publications, cultural inventories, and national registers of intangible cultural heritage.</w:t>
      </w:r>
    </w:p>
    <w:p w14:paraId="24ACF845" w14:textId="77777777" w:rsidR="00E24EC1" w:rsidRDefault="00E24EC1">
      <w:pPr>
        <w:rPr>
          <w:rFonts w:ascii="Trebuchet MS" w:eastAsia="Trebuchet MS" w:hAnsi="Trebuchet MS" w:cs="Trebuchet MS"/>
          <w:b/>
          <w:color w:val="90ABB1"/>
          <w:sz w:val="20"/>
          <w:szCs w:val="20"/>
        </w:rPr>
      </w:pPr>
    </w:p>
    <w:sectPr w:rsidR="00E24EC1">
      <w:pgSz w:w="11910" w:h="16840"/>
      <w:pgMar w:top="1417" w:right="1417" w:bottom="1418" w:left="1418"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6CDE7" w14:textId="77777777" w:rsidR="002B3DAC" w:rsidRDefault="002B3DAC">
      <w:r>
        <w:separator/>
      </w:r>
    </w:p>
  </w:endnote>
  <w:endnote w:type="continuationSeparator" w:id="0">
    <w:p w14:paraId="295393D7" w14:textId="77777777" w:rsidR="002B3DAC" w:rsidRDefault="002B3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A461EA8F-B11B-4959-BB1A-154B7E392430}"/>
  </w:font>
  <w:font w:name="Trebuchet MS">
    <w:panose1 w:val="020B0603020202020204"/>
    <w:charset w:val="EE"/>
    <w:family w:val="swiss"/>
    <w:pitch w:val="variable"/>
    <w:sig w:usb0="00000687" w:usb1="00000000" w:usb2="00000000" w:usb3="00000000" w:csb0="0000009F" w:csb1="00000000"/>
    <w:embedRegular r:id="rId2" w:fontKey="{0F8971BD-586B-4813-82FE-E7A27944EA72}"/>
    <w:embedBold r:id="rId3" w:fontKey="{B94405DD-3B05-4426-B4AF-9683F4497816}"/>
    <w:embedItalic r:id="rId4" w:fontKey="{4B339CDE-8F9C-4E0B-A7DD-19DAB78725A6}"/>
    <w:embedBoldItalic r:id="rId5" w:fontKey="{B159A796-4DDC-4EE0-B1C3-A8D8FCA087F1}"/>
  </w:font>
  <w:font w:name="Times New Roman">
    <w:panose1 w:val="02020603050405020304"/>
    <w:charset w:val="EE"/>
    <w:family w:val="roman"/>
    <w:pitch w:val="variable"/>
    <w:sig w:usb0="E0002EFF" w:usb1="C000785B" w:usb2="00000009" w:usb3="00000000" w:csb0="000001FF" w:csb1="00000000"/>
  </w:font>
  <w:font w:name="Arial Rounded">
    <w:altName w:val="Arial"/>
    <w:charset w:val="00"/>
    <w:family w:val="auto"/>
    <w:pitch w:val="default"/>
  </w:font>
  <w:font w:name="Verdana">
    <w:panose1 w:val="020B0604030504040204"/>
    <w:charset w:val="EE"/>
    <w:family w:val="swiss"/>
    <w:pitch w:val="variable"/>
    <w:sig w:usb0="A00006FF" w:usb1="4000205B" w:usb2="00000010" w:usb3="00000000" w:csb0="0000019F" w:csb1="00000000"/>
    <w:embedRegular r:id="rId6" w:fontKey="{A19B4B94-FA67-451F-899E-116F1677CCFC}"/>
    <w:embedBold r:id="rId7" w:fontKey="{F7A68BA4-B6B5-439E-9236-E195B64B0D1C}"/>
    <w:embedItalic r:id="rId8" w:fontKey="{27017166-5166-41F1-A122-DC4D3736B3CC}"/>
    <w:embedBoldItalic r:id="rId9" w:fontKey="{DC1F34A8-4B88-4D45-890F-5B3BB82D2697}"/>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0" w:fontKey="{76027B88-D89B-4B96-A660-CF911D9BE7A4}"/>
  </w:font>
  <w:font w:name="Calibri">
    <w:panose1 w:val="020F0502020204030204"/>
    <w:charset w:val="EE"/>
    <w:family w:val="swiss"/>
    <w:pitch w:val="variable"/>
    <w:sig w:usb0="E4002EFF" w:usb1="C200247B" w:usb2="00000009" w:usb3="00000000" w:csb0="000001FF" w:csb1="00000000"/>
    <w:embedRegular r:id="rId11" w:fontKey="{C2C70777-769D-48E2-BBD8-5B05ECC3B1A1}"/>
    <w:embedBold r:id="rId12" w:fontKey="{EC22808F-DFE1-4885-A3D7-7AB8AB347AFB}"/>
    <w:embedItalic r:id="rId13" w:fontKey="{7155F1C5-C577-4532-AD5E-D8E192BA4EF1}"/>
  </w:font>
  <w:font w:name="Arial Narrow">
    <w:panose1 w:val="020B0606020202030204"/>
    <w:charset w:val="EE"/>
    <w:family w:val="swiss"/>
    <w:pitch w:val="variable"/>
    <w:sig w:usb0="00000287" w:usb1="00000800" w:usb2="00000000" w:usb3="00000000" w:csb0="0000009F" w:csb1="00000000"/>
    <w:embedRegular r:id="rId14" w:fontKey="{F66115A2-D05E-486F-8B66-1FFC66E831F1}"/>
  </w:font>
  <w:font w:name="Arial Rounded MT Bold">
    <w:panose1 w:val="020F0704030504030204"/>
    <w:charset w:val="00"/>
    <w:family w:val="swiss"/>
    <w:pitch w:val="variable"/>
    <w:sig w:usb0="00000003" w:usb1="00000000" w:usb2="00000000" w:usb3="00000000" w:csb0="00000001" w:csb1="00000000"/>
    <w:embedRegular r:id="rId15" w:fontKey="{BC40523D-3F90-416E-8197-E141CF6E1577}"/>
    <w:embedBold r:id="rId16" w:fontKey="{13A1FBAF-59F2-4010-B538-14A0736CD66E}"/>
  </w:font>
  <w:font w:name="Sitka Subheading">
    <w:panose1 w:val="00000000000000000000"/>
    <w:charset w:val="EE"/>
    <w:family w:val="auto"/>
    <w:pitch w:val="variable"/>
    <w:sig w:usb0="A00002EF" w:usb1="4000204B" w:usb2="00000000" w:usb3="00000000" w:csb0="0000019F" w:csb1="00000000"/>
    <w:embedRegular r:id="rId17" w:fontKey="{848E6AD3-1C3C-47AB-8117-EC24948D31E7}"/>
    <w:embedBold r:id="rId18" w:fontKey="{CA38BE7A-94FC-4465-944E-2B59106E874F}"/>
  </w:font>
  <w:font w:name="MinionPro-Regular">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19" w:fontKey="{A5649757-21A5-4619-8399-9321F51108E5}"/>
    <w:embedItalic r:id="rId20" w:fontKey="{6E4E1FCE-BC78-45A7-99CB-D27FB2CE20F0}"/>
  </w:font>
  <w:font w:name="Arial Black">
    <w:panose1 w:val="020B0A04020102020204"/>
    <w:charset w:val="EE"/>
    <w:family w:val="swiss"/>
    <w:pitch w:val="variable"/>
    <w:sig w:usb0="A00002AF" w:usb1="400078FB" w:usb2="00000000" w:usb3="00000000" w:csb0="0000009F" w:csb1="00000000"/>
    <w:embedRegular r:id="rId21" w:fontKey="{3F34E05F-8707-4CC7-BAA5-F588962B6E86}"/>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1945" w14:textId="77777777" w:rsidR="00E24EC1" w:rsidRDefault="00E24E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65E53" w14:textId="77777777" w:rsidR="002B3DAC" w:rsidRDefault="002B3DAC">
      <w:r>
        <w:separator/>
      </w:r>
    </w:p>
  </w:footnote>
  <w:footnote w:type="continuationSeparator" w:id="0">
    <w:p w14:paraId="6EB7A7F4" w14:textId="77777777" w:rsidR="002B3DAC" w:rsidRDefault="002B3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0C2" w14:textId="77777777" w:rsidR="00E24EC1" w:rsidRDefault="00E24E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A02"/>
    <w:multiLevelType w:val="multilevel"/>
    <w:tmpl w:val="6E505F60"/>
    <w:lvl w:ilvl="0">
      <w:start w:val="4"/>
      <w:numFmt w:val="decimal"/>
      <w:lvlText w:val="%1"/>
      <w:lvlJc w:val="left"/>
      <w:pPr>
        <w:ind w:left="630" w:hanging="630"/>
      </w:pPr>
    </w:lvl>
    <w:lvl w:ilvl="1">
      <w:start w:val="1"/>
      <w:numFmt w:val="decimal"/>
      <w:lvlText w:val="%1.%2"/>
      <w:lvlJc w:val="left"/>
      <w:pPr>
        <w:ind w:left="1339" w:hanging="630"/>
      </w:pPr>
    </w:lvl>
    <w:lvl w:ilvl="2">
      <w:start w:val="2"/>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 w15:restartNumberingAfterBreak="0">
    <w:nsid w:val="024D042D"/>
    <w:multiLevelType w:val="multilevel"/>
    <w:tmpl w:val="DEACE734"/>
    <w:lvl w:ilvl="0">
      <w:start w:val="1"/>
      <w:numFmt w:val="bullet"/>
      <w:pStyle w:val="ListDash1"/>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C6E6E"/>
    <w:multiLevelType w:val="multilevel"/>
    <w:tmpl w:val="7D7ED4A2"/>
    <w:lvl w:ilvl="0">
      <w:start w:val="1"/>
      <w:numFmt w:val="decimal"/>
      <w:pStyle w:val="IM2"/>
      <w:lvlText w:val="%1."/>
      <w:lvlJc w:val="left"/>
      <w:pPr>
        <w:ind w:left="480" w:hanging="48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 w15:restartNumberingAfterBreak="0">
    <w:nsid w:val="09D67EE0"/>
    <w:multiLevelType w:val="multilevel"/>
    <w:tmpl w:val="617084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A379D6"/>
    <w:multiLevelType w:val="multilevel"/>
    <w:tmpl w:val="D90E9140"/>
    <w:lvl w:ilvl="0">
      <w:start w:val="1"/>
      <w:numFmt w:val="bullet"/>
      <w:pStyle w:val="Oznaenseznam"/>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B51587"/>
    <w:multiLevelType w:val="multilevel"/>
    <w:tmpl w:val="0F0E0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D835C6"/>
    <w:multiLevelType w:val="multilevel"/>
    <w:tmpl w:val="530AF75C"/>
    <w:lvl w:ilvl="0">
      <w:start w:val="1"/>
      <w:numFmt w:val="bullet"/>
      <w:pStyle w:val="CE-List-Bullet"/>
      <w:lvlText w:val="o"/>
      <w:lvlJc w:val="left"/>
      <w:pPr>
        <w:ind w:left="1080" w:hanging="360"/>
      </w:pPr>
      <w:rPr>
        <w:rFonts w:ascii="Courier New" w:eastAsia="Courier New" w:hAnsi="Courier New" w:cs="Courier New"/>
      </w:rPr>
    </w:lvl>
    <w:lvl w:ilvl="1">
      <w:start w:val="1"/>
      <w:numFmt w:val="bullet"/>
      <w:pStyle w:val="Headline2JK"/>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8463BEC"/>
    <w:multiLevelType w:val="multilevel"/>
    <w:tmpl w:val="1F1821B0"/>
    <w:lvl w:ilvl="0">
      <w:start w:val="4"/>
      <w:numFmt w:val="decimal"/>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15:restartNumberingAfterBreak="0">
    <w:nsid w:val="32B74228"/>
    <w:multiLevelType w:val="multilevel"/>
    <w:tmpl w:val="5AB65D90"/>
    <w:lvl w:ilvl="0">
      <w:start w:val="1"/>
      <w:numFmt w:val="bullet"/>
      <w:lvlText w:val="o"/>
      <w:lvlJc w:val="left"/>
      <w:pPr>
        <w:ind w:left="720" w:hanging="360"/>
      </w:pPr>
      <w:rPr>
        <w:rFonts w:ascii="Courier New" w:eastAsia="Courier New" w:hAnsi="Courier New" w:cs="Courier New"/>
      </w:rPr>
    </w:lvl>
    <w:lvl w:ilvl="1">
      <w:start w:val="1"/>
      <w:numFmt w:val="bullet"/>
      <w:pStyle w:val="Subbullets"/>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DD5F1A"/>
    <w:multiLevelType w:val="multilevel"/>
    <w:tmpl w:val="5268BA7E"/>
    <w:lvl w:ilvl="0">
      <w:start w:val="1"/>
      <w:numFmt w:val="bullet"/>
      <w:lvlText w:val="◼"/>
      <w:lvlJc w:val="left"/>
      <w:pPr>
        <w:ind w:left="1353" w:hanging="359"/>
      </w:pPr>
      <w:rPr>
        <w:rFonts w:ascii="Noto Sans Symbols" w:eastAsia="Noto Sans Symbols" w:hAnsi="Noto Sans Symbols" w:cs="Noto Sans Symbols"/>
        <w:color w:val="708792"/>
      </w:rPr>
    </w:lvl>
    <w:lvl w:ilvl="1">
      <w:start w:val="1"/>
      <w:numFmt w:val="bullet"/>
      <w:lvlText w:val="🢭"/>
      <w:lvlJc w:val="left"/>
      <w:pPr>
        <w:ind w:left="2073" w:hanging="360"/>
      </w:pPr>
      <w:rPr>
        <w:rFonts w:ascii="Noto Sans Symbols" w:eastAsia="Noto Sans Symbols" w:hAnsi="Noto Sans Symbols" w:cs="Noto Sans Symbols"/>
        <w:color w:val="708792"/>
        <w:sz w:val="24"/>
        <w:szCs w:val="24"/>
        <w:vertAlign w:val="baseline"/>
      </w:rPr>
    </w:lvl>
    <w:lvl w:ilvl="2">
      <w:start w:val="1"/>
      <w:numFmt w:val="bullet"/>
      <w:lvlText w:val="&gt;"/>
      <w:lvlJc w:val="left"/>
      <w:pPr>
        <w:ind w:left="2793" w:hanging="360"/>
      </w:pPr>
      <w:rPr>
        <w:rFonts w:ascii="Trebuchet MS" w:eastAsia="Trebuchet MS" w:hAnsi="Trebuchet MS" w:cs="Trebuchet MS"/>
        <w:color w:val="708792"/>
        <w:u w:val="none"/>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pStyle w:val="Naslov7"/>
      <w:lvlText w:val="●"/>
      <w:lvlJc w:val="left"/>
      <w:pPr>
        <w:ind w:left="5673" w:hanging="360"/>
      </w:pPr>
      <w:rPr>
        <w:rFonts w:ascii="Noto Sans Symbols" w:eastAsia="Noto Sans Symbols" w:hAnsi="Noto Sans Symbols" w:cs="Noto Sans Symbols"/>
      </w:rPr>
    </w:lvl>
    <w:lvl w:ilvl="7">
      <w:start w:val="1"/>
      <w:numFmt w:val="bullet"/>
      <w:pStyle w:val="Naslov8"/>
      <w:lvlText w:val="o"/>
      <w:lvlJc w:val="left"/>
      <w:pPr>
        <w:ind w:left="6393" w:hanging="360"/>
      </w:pPr>
      <w:rPr>
        <w:rFonts w:ascii="Courier New" w:eastAsia="Courier New" w:hAnsi="Courier New" w:cs="Courier New"/>
      </w:rPr>
    </w:lvl>
    <w:lvl w:ilvl="8">
      <w:start w:val="1"/>
      <w:numFmt w:val="bullet"/>
      <w:pStyle w:val="Naslov9"/>
      <w:lvlText w:val="▪"/>
      <w:lvlJc w:val="left"/>
      <w:pPr>
        <w:ind w:left="7113" w:hanging="360"/>
      </w:pPr>
      <w:rPr>
        <w:rFonts w:ascii="Noto Sans Symbols" w:eastAsia="Noto Sans Symbols" w:hAnsi="Noto Sans Symbols" w:cs="Noto Sans Symbols"/>
      </w:rPr>
    </w:lvl>
  </w:abstractNum>
  <w:abstractNum w:abstractNumId="10" w15:restartNumberingAfterBreak="0">
    <w:nsid w:val="3A311752"/>
    <w:multiLevelType w:val="multilevel"/>
    <w:tmpl w:val="A1B2D048"/>
    <w:lvl w:ilvl="0">
      <w:start w:val="4"/>
      <w:numFmt w:val="decimal"/>
      <w:lvlText w:val="%1."/>
      <w:lvlJc w:val="left"/>
      <w:pPr>
        <w:ind w:left="684" w:hanging="684"/>
      </w:pPr>
    </w:lvl>
    <w:lvl w:ilvl="1">
      <w:start w:val="2"/>
      <w:numFmt w:val="decimal"/>
      <w:lvlText w:val="%1.%2."/>
      <w:lvlJc w:val="left"/>
      <w:pPr>
        <w:ind w:left="1440" w:hanging="720"/>
      </w:pPr>
    </w:lvl>
    <w:lvl w:ilvl="2">
      <w:start w:val="2"/>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1" w15:restartNumberingAfterBreak="0">
    <w:nsid w:val="3C984EFA"/>
    <w:multiLevelType w:val="multilevel"/>
    <w:tmpl w:val="1F763FCE"/>
    <w:lvl w:ilvl="0">
      <w:start w:val="2"/>
      <w:numFmt w:val="decimal"/>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2" w15:restartNumberingAfterBreak="0">
    <w:nsid w:val="437B07FD"/>
    <w:multiLevelType w:val="multilevel"/>
    <w:tmpl w:val="4502E0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pStyle w:val="CE-Headline3"/>
      <w:lvlText w:val="▪"/>
      <w:lvlJc w:val="left"/>
      <w:pPr>
        <w:ind w:left="2160" w:hanging="360"/>
      </w:pPr>
      <w:rPr>
        <w:rFonts w:ascii="Noto Sans Symbols" w:eastAsia="Noto Sans Symbols" w:hAnsi="Noto Sans Symbols" w:cs="Noto Sans Symbols"/>
      </w:rPr>
    </w:lvl>
    <w:lvl w:ilvl="3">
      <w:start w:val="1"/>
      <w:numFmt w:val="bullet"/>
      <w:pStyle w:val="CE-Headline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CB49FE"/>
    <w:multiLevelType w:val="multilevel"/>
    <w:tmpl w:val="D45E9B9E"/>
    <w:lvl w:ilvl="0">
      <w:start w:val="3"/>
      <w:numFmt w:val="decimal"/>
      <w:lvlText w:val="%1."/>
      <w:lvlJc w:val="left"/>
      <w:pPr>
        <w:ind w:left="480" w:hanging="480"/>
      </w:pPr>
    </w:lvl>
    <w:lvl w:ilvl="1">
      <w:start w:val="1"/>
      <w:numFmt w:val="decimal"/>
      <w:lvlText w:val="%1.%2."/>
      <w:lvlJc w:val="left"/>
      <w:pPr>
        <w:ind w:left="1440" w:hanging="720"/>
      </w:pPr>
    </w:lvl>
    <w:lvl w:ilvl="2">
      <w:start w:val="3"/>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15:restartNumberingAfterBreak="0">
    <w:nsid w:val="566652E8"/>
    <w:multiLevelType w:val="multilevel"/>
    <w:tmpl w:val="AD647B9C"/>
    <w:lvl w:ilvl="0">
      <w:start w:val="1"/>
      <w:numFmt w:val="bullet"/>
      <w:pStyle w:val="IM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5661DE"/>
    <w:multiLevelType w:val="multilevel"/>
    <w:tmpl w:val="BC88348C"/>
    <w:lvl w:ilvl="0">
      <w:start w:val="1"/>
      <w:numFmt w:val="decimal"/>
      <w:pStyle w:val="IM3"/>
      <w:lvlText w:val="%1"/>
      <w:lvlJc w:val="left"/>
      <w:pPr>
        <w:ind w:left="405" w:hanging="405"/>
      </w:pPr>
    </w:lvl>
    <w:lvl w:ilvl="1">
      <w:start w:val="1"/>
      <w:numFmt w:val="decimal"/>
      <w:lvlText w:val="%1.%2"/>
      <w:lvlJc w:val="left"/>
      <w:pPr>
        <w:ind w:left="1125" w:hanging="40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 w15:restartNumberingAfterBreak="0">
    <w:nsid w:val="5B6D2F3E"/>
    <w:multiLevelType w:val="multilevel"/>
    <w:tmpl w:val="3A3204FE"/>
    <w:lvl w:ilvl="0">
      <w:start w:val="4"/>
      <w:numFmt w:val="decimal"/>
      <w:lvlText w:val="%1."/>
      <w:lvlJc w:val="left"/>
      <w:pPr>
        <w:ind w:left="684" w:hanging="684"/>
      </w:pPr>
    </w:lvl>
    <w:lvl w:ilvl="1">
      <w:start w:val="1"/>
      <w:numFmt w:val="decimal"/>
      <w:lvlText w:val="%1.%2."/>
      <w:lvlJc w:val="left"/>
      <w:pPr>
        <w:ind w:left="1440" w:hanging="720"/>
      </w:pPr>
    </w:lvl>
    <w:lvl w:ilvl="2">
      <w:start w:val="5"/>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7" w15:restartNumberingAfterBreak="0">
    <w:nsid w:val="64F5631E"/>
    <w:multiLevelType w:val="multilevel"/>
    <w:tmpl w:val="5DBEA8AA"/>
    <w:lvl w:ilvl="0">
      <w:start w:val="1"/>
      <w:numFmt w:val="bullet"/>
      <w:pStyle w:val="Comms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BB71CD"/>
    <w:multiLevelType w:val="multilevel"/>
    <w:tmpl w:val="4D9840AE"/>
    <w:lvl w:ilvl="0">
      <w:start w:val="5"/>
      <w:numFmt w:val="decimal"/>
      <w:pStyle w:val="Headline1part"/>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9" w15:restartNumberingAfterBreak="0">
    <w:nsid w:val="6869550D"/>
    <w:multiLevelType w:val="multilevel"/>
    <w:tmpl w:val="26E2F5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3672336">
    <w:abstractNumId w:val="9"/>
  </w:num>
  <w:num w:numId="2" w16cid:durableId="1271400870">
    <w:abstractNumId w:val="17"/>
  </w:num>
  <w:num w:numId="3" w16cid:durableId="1116364950">
    <w:abstractNumId w:val="4"/>
  </w:num>
  <w:num w:numId="4" w16cid:durableId="1148084223">
    <w:abstractNumId w:val="1"/>
  </w:num>
  <w:num w:numId="5" w16cid:durableId="688526312">
    <w:abstractNumId w:val="14"/>
  </w:num>
  <w:num w:numId="6" w16cid:durableId="1688479590">
    <w:abstractNumId w:val="2"/>
  </w:num>
  <w:num w:numId="7" w16cid:durableId="1138910494">
    <w:abstractNumId w:val="15"/>
  </w:num>
  <w:num w:numId="8" w16cid:durableId="251554196">
    <w:abstractNumId w:val="11"/>
  </w:num>
  <w:num w:numId="9" w16cid:durableId="934019939">
    <w:abstractNumId w:val="7"/>
  </w:num>
  <w:num w:numId="10" w16cid:durableId="1455516276">
    <w:abstractNumId w:val="0"/>
  </w:num>
  <w:num w:numId="11" w16cid:durableId="307824893">
    <w:abstractNumId w:val="18"/>
  </w:num>
  <w:num w:numId="12" w16cid:durableId="1533181565">
    <w:abstractNumId w:val="8"/>
  </w:num>
  <w:num w:numId="13" w16cid:durableId="2138647237">
    <w:abstractNumId w:val="6"/>
  </w:num>
  <w:num w:numId="14" w16cid:durableId="815100008">
    <w:abstractNumId w:val="12"/>
  </w:num>
  <w:num w:numId="15" w16cid:durableId="1905985216">
    <w:abstractNumId w:val="3"/>
  </w:num>
  <w:num w:numId="16" w16cid:durableId="812873624">
    <w:abstractNumId w:val="19"/>
  </w:num>
  <w:num w:numId="17" w16cid:durableId="1584141241">
    <w:abstractNumId w:val="5"/>
  </w:num>
  <w:num w:numId="18" w16cid:durableId="1452937193">
    <w:abstractNumId w:val="16"/>
  </w:num>
  <w:num w:numId="19" w16cid:durableId="1261062670">
    <w:abstractNumId w:val="10"/>
  </w:num>
  <w:num w:numId="20" w16cid:durableId="18393433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EC1"/>
    <w:rsid w:val="002B3DAC"/>
    <w:rsid w:val="00385F1D"/>
    <w:rsid w:val="005D1C74"/>
    <w:rsid w:val="00E24E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23636"/>
  <w15:docId w15:val="{C3BD92B8-E4ED-4BF6-BD18-DCFB09F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tabs>
        <w:tab w:val="left" w:pos="720"/>
      </w:tabs>
      <w:spacing w:before="240" w:after="720"/>
      <w:ind w:left="720" w:right="340" w:hanging="360"/>
      <w:outlineLvl w:val="0"/>
    </w:pPr>
    <w:rPr>
      <w:rFonts w:ascii="Arial Rounded" w:eastAsia="Arial Rounded" w:hAnsi="Arial Rounded" w:cs="Arial Rounded"/>
      <w:b/>
      <w:color w:val="90ABB1"/>
      <w:sz w:val="28"/>
      <w:szCs w:val="28"/>
    </w:rPr>
  </w:style>
  <w:style w:type="paragraph" w:styleId="Naslov2">
    <w:name w:val="heading 2"/>
    <w:basedOn w:val="Navaden"/>
    <w:next w:val="Navaden"/>
    <w:uiPriority w:val="9"/>
    <w:unhideWhenUsed/>
    <w:qFormat/>
    <w:pPr>
      <w:keepNext/>
      <w:spacing w:after="240"/>
      <w:ind w:left="720" w:hanging="360"/>
      <w:outlineLvl w:val="1"/>
    </w:pPr>
    <w:rPr>
      <w:rFonts w:ascii="Arial Rounded" w:eastAsia="Arial Rounded" w:hAnsi="Arial Rounded" w:cs="Arial Rounded"/>
      <w:b/>
      <w:color w:val="90ABB1"/>
    </w:rPr>
  </w:style>
  <w:style w:type="paragraph" w:styleId="Naslov3">
    <w:name w:val="heading 3"/>
    <w:basedOn w:val="Navaden"/>
    <w:next w:val="Navaden"/>
    <w:uiPriority w:val="9"/>
    <w:unhideWhenUsed/>
    <w:qFormat/>
    <w:pPr>
      <w:keepNext/>
      <w:keepLines/>
      <w:spacing w:after="240"/>
      <w:ind w:left="1418" w:right="340"/>
      <w:outlineLvl w:val="2"/>
    </w:pPr>
    <w:rPr>
      <w:rFonts w:ascii="Arial Rounded" w:eastAsia="Arial Rounded" w:hAnsi="Arial Rounded" w:cs="Arial Rounded"/>
      <w:b/>
      <w:color w:val="90ABB1"/>
    </w:rPr>
  </w:style>
  <w:style w:type="paragraph" w:styleId="Naslov4">
    <w:name w:val="heading 4"/>
    <w:basedOn w:val="Navaden"/>
    <w:next w:val="Navaden"/>
    <w:uiPriority w:val="9"/>
    <w:semiHidden/>
    <w:unhideWhenUsed/>
    <w:qFormat/>
    <w:pPr>
      <w:keepNext/>
      <w:outlineLvl w:val="3"/>
    </w:pPr>
    <w:rPr>
      <w:rFonts w:ascii="Verdana" w:eastAsia="Verdana" w:hAnsi="Verdana" w:cs="Verdana"/>
      <w:b/>
    </w:rPr>
  </w:style>
  <w:style w:type="paragraph" w:styleId="Naslov5">
    <w:name w:val="heading 5"/>
    <w:basedOn w:val="Navaden"/>
    <w:next w:val="Navaden"/>
    <w:uiPriority w:val="9"/>
    <w:semiHidden/>
    <w:unhideWhenUsed/>
    <w:qFormat/>
    <w:pPr>
      <w:spacing w:before="240" w:after="60"/>
      <w:ind w:left="4233" w:hanging="360"/>
      <w:outlineLvl w:val="4"/>
    </w:pPr>
    <w:rPr>
      <w:rFonts w:ascii="Verdana" w:eastAsia="Verdana" w:hAnsi="Verdana" w:cs="Verdana"/>
      <w:b/>
      <w:i/>
    </w:rPr>
  </w:style>
  <w:style w:type="paragraph" w:styleId="Naslov6">
    <w:name w:val="heading 6"/>
    <w:basedOn w:val="Navaden"/>
    <w:next w:val="Navaden"/>
    <w:uiPriority w:val="9"/>
    <w:semiHidden/>
    <w:unhideWhenUsed/>
    <w:qFormat/>
    <w:pPr>
      <w:spacing w:before="240" w:after="60"/>
      <w:ind w:left="4953" w:hanging="360"/>
      <w:outlineLvl w:val="5"/>
    </w:pPr>
    <w:rPr>
      <w:rFonts w:ascii="Verdana" w:eastAsia="Verdana" w:hAnsi="Verdana" w:cs="Verdana"/>
      <w:b/>
    </w:rPr>
  </w:style>
  <w:style w:type="paragraph" w:styleId="Naslov7">
    <w:name w:val="heading 7"/>
    <w:rsid w:val="005625C6"/>
    <w:pPr>
      <w:numPr>
        <w:ilvl w:val="6"/>
        <w:numId w:val="1"/>
      </w:numPr>
      <w:spacing w:before="240" w:after="60"/>
      <w:outlineLvl w:val="6"/>
    </w:pPr>
    <w:rPr>
      <w:rFonts w:ascii="Verdana" w:hAnsi="Verdana"/>
    </w:rPr>
  </w:style>
  <w:style w:type="paragraph" w:styleId="Naslov8">
    <w:name w:val="heading 8"/>
    <w:rsid w:val="005625C6"/>
    <w:pPr>
      <w:numPr>
        <w:ilvl w:val="7"/>
        <w:numId w:val="1"/>
      </w:numPr>
      <w:spacing w:before="240" w:after="60"/>
      <w:outlineLvl w:val="7"/>
    </w:pPr>
    <w:rPr>
      <w:rFonts w:ascii="Verdana" w:hAnsi="Verdana"/>
      <w:i/>
      <w:iCs/>
    </w:rPr>
  </w:style>
  <w:style w:type="paragraph" w:styleId="Naslov9">
    <w:name w:val="heading 9"/>
    <w:rsid w:val="005625C6"/>
    <w:pPr>
      <w:numPr>
        <w:ilvl w:val="8"/>
        <w:numId w:val="1"/>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aslov">
    <w:name w:val="Title"/>
    <w:basedOn w:val="Navaden"/>
    <w:next w:val="Navaden"/>
    <w:uiPriority w:val="10"/>
    <w:qFormat/>
    <w:pPr>
      <w:pBdr>
        <w:bottom w:val="single" w:sz="8" w:space="4" w:color="90ABB1"/>
      </w:pBdr>
      <w:spacing w:after="300"/>
    </w:pPr>
    <w:rPr>
      <w:rFonts w:ascii="Trebuchet MS" w:eastAsia="Trebuchet MS" w:hAnsi="Trebuchet MS" w:cs="Trebuchet MS"/>
      <w:color w:val="080808"/>
      <w:sz w:val="52"/>
      <w:szCs w:val="52"/>
    </w:rPr>
  </w:style>
  <w:style w:type="paragraph" w:styleId="Glava">
    <w:name w:val="header"/>
    <w:link w:val="GlavaZnak"/>
    <w:uiPriority w:val="99"/>
    <w:rsid w:val="005625C6"/>
    <w:pPr>
      <w:tabs>
        <w:tab w:val="center" w:pos="4536"/>
        <w:tab w:val="right" w:pos="9072"/>
      </w:tabs>
    </w:pPr>
    <w:rPr>
      <w:rFonts w:ascii="Verdana" w:hAnsi="Verdana"/>
      <w:sz w:val="16"/>
    </w:rPr>
  </w:style>
  <w:style w:type="paragraph" w:styleId="Noga">
    <w:name w:val="footer"/>
    <w:link w:val="NogaZnak"/>
    <w:uiPriority w:val="99"/>
    <w:rsid w:val="005625C6"/>
    <w:pPr>
      <w:tabs>
        <w:tab w:val="center" w:pos="4536"/>
        <w:tab w:val="right" w:pos="9072"/>
      </w:tabs>
    </w:pPr>
    <w:rPr>
      <w:rFonts w:ascii="Verdana" w:hAnsi="Verdana"/>
      <w:sz w:val="16"/>
    </w:rPr>
  </w:style>
  <w:style w:type="character" w:styleId="tevilkastrani">
    <w:name w:val="page number"/>
    <w:basedOn w:val="Privzetapisavaodstavka"/>
    <w:semiHidden/>
    <w:rsid w:val="005625C6"/>
    <w:rPr>
      <w:rFonts w:ascii="Verdana" w:hAnsi="Verdana"/>
      <w:sz w:val="20"/>
    </w:rPr>
  </w:style>
  <w:style w:type="paragraph" w:styleId="Telobesedila-zamik">
    <w:name w:val="Body Text Indent"/>
    <w:semiHidden/>
    <w:rsid w:val="005625C6"/>
    <w:pPr>
      <w:spacing w:before="60" w:after="60"/>
      <w:ind w:left="720"/>
    </w:pPr>
    <w:rPr>
      <w:rFonts w:ascii="Verdana" w:hAnsi="Verdana"/>
    </w:rPr>
  </w:style>
  <w:style w:type="paragraph" w:styleId="Telobesedila">
    <w:name w:val="Body Text"/>
    <w:link w:val="TelobesedilaZnak"/>
    <w:uiPriority w:val="1"/>
    <w:qFormat/>
    <w:rsid w:val="005625C6"/>
    <w:pPr>
      <w:spacing w:after="120"/>
    </w:pPr>
    <w:rPr>
      <w:rFonts w:ascii="Verdana" w:hAnsi="Verdana"/>
    </w:rPr>
  </w:style>
  <w:style w:type="paragraph" w:styleId="Besedilooblaka">
    <w:name w:val="Balloon Text"/>
    <w:link w:val="BesedilooblakaZnak"/>
    <w:uiPriority w:val="99"/>
    <w:semiHidden/>
    <w:unhideWhenUsed/>
    <w:rsid w:val="00E5766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link w:val="PripombabesediloZnak"/>
    <w:uiPriority w:val="99"/>
    <w:unhideWhenUsed/>
    <w:rsid w:val="0023224E"/>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link w:val="OdstavekseznamaZnak"/>
    <w:uiPriority w:val="1"/>
    <w:qFormat/>
    <w:rsid w:val="00063D14"/>
    <w:pPr>
      <w:ind w:left="720"/>
      <w:contextualSpacing/>
    </w:pPr>
  </w:style>
  <w:style w:type="character" w:styleId="Hiperpovezava">
    <w:name w:val="Hyperlink"/>
    <w:basedOn w:val="Privzetapisavaodstav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rPr>
  </w:style>
  <w:style w:type="paragraph" w:styleId="Navadensplet">
    <w:name w:val="Normal (Web)"/>
    <w:uiPriority w:val="99"/>
    <w:unhideWhenUsed/>
    <w:rsid w:val="00747CF2"/>
    <w:pPr>
      <w:spacing w:before="100" w:beforeAutospacing="1" w:after="100" w:afterAutospacing="1"/>
    </w:pPr>
    <w:rPr>
      <w:rFonts w:eastAsiaTheme="minorHAnsi"/>
      <w:lang w:eastAsia="de-AT"/>
    </w:rPr>
  </w:style>
  <w:style w:type="character" w:customStyle="1" w:styleId="hps">
    <w:name w:val="hps"/>
    <w:basedOn w:val="Privzetapisavaodstavka"/>
    <w:rsid w:val="0037093F"/>
  </w:style>
  <w:style w:type="table" w:styleId="Svetelseznampoudarek1">
    <w:name w:val="Light List Accent 1"/>
    <w:basedOn w:val="Navadnatabela"/>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link w:val="Text1Char"/>
    <w:rsid w:val="00A350E1"/>
    <w:pPr>
      <w:spacing w:after="240"/>
      <w:ind w:left="482"/>
    </w:pPr>
  </w:style>
  <w:style w:type="character" w:customStyle="1" w:styleId="Text1Char">
    <w:name w:val="Text 1 Char"/>
    <w:link w:val="Text1"/>
    <w:locked/>
    <w:rsid w:val="00A350E1"/>
    <w:rPr>
      <w:sz w:val="24"/>
      <w:lang w:eastAsia="en-US"/>
    </w:rPr>
  </w:style>
  <w:style w:type="paragraph" w:customStyle="1" w:styleId="Tabelle">
    <w:name w:val="Tabelle"/>
    <w:rsid w:val="00A350E1"/>
    <w:pPr>
      <w:spacing w:before="40" w:after="40"/>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708792"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Tabelamrea">
    <w:name w:val="Table Grid"/>
    <w:basedOn w:val="Navadnatabel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Svetlosenenjepoudarek5">
    <w:name w:val="Light Shading Accent 5"/>
    <w:basedOn w:val="Navadnatabela"/>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uiPriority w:val="99"/>
    <w:semiHidden/>
    <w:unhideWhenUsed/>
    <w:rsid w:val="0093166C"/>
    <w:pPr>
      <w:numPr>
        <w:numId w:val="3"/>
      </w:numPr>
      <w:contextualSpacing/>
    </w:pPr>
  </w:style>
  <w:style w:type="character" w:customStyle="1" w:styleId="CmChar">
    <w:name w:val="Cím Char"/>
    <w:basedOn w:val="Privzetapisavaodstavka"/>
    <w:uiPriority w:val="10"/>
    <w:rsid w:val="007E62DC"/>
    <w:rPr>
      <w:rFonts w:asciiTheme="majorHAnsi" w:eastAsiaTheme="majorEastAsia" w:hAnsiTheme="majorHAnsi" w:cstheme="majorBidi"/>
      <w:color w:val="080808" w:themeColor="text2" w:themeShade="BF"/>
      <w:spacing w:val="5"/>
      <w:kern w:val="28"/>
      <w:sz w:val="52"/>
      <w:szCs w:val="52"/>
      <w:lang w:val="de-AT" w:eastAsia="en-US"/>
    </w:rPr>
  </w:style>
  <w:style w:type="paragraph" w:customStyle="1" w:styleId="CommsHeading1">
    <w:name w:val="Comms Heading 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link w:val="CommsHeading11Char"/>
    <w:rsid w:val="007E62DC"/>
    <w:pPr>
      <w:spacing w:before="360"/>
      <w:ind w:left="1789" w:hanging="360"/>
    </w:pPr>
    <w:rPr>
      <w:rFonts w:ascii="Trebuchet MS" w:hAnsi="Trebuchet MS"/>
      <w:color w:val="63858D" w:themeColor="accent1" w:themeShade="BF"/>
    </w:rPr>
  </w:style>
  <w:style w:type="character" w:customStyle="1" w:styleId="Cmsor1Char">
    <w:name w:val="Címsor 1 Char"/>
    <w:basedOn w:val="Privzetapisavaodstavka"/>
    <w:uiPriority w:val="9"/>
    <w:rsid w:val="00877C37"/>
    <w:rPr>
      <w:rFonts w:ascii="Arial Rounded MT Bold" w:hAnsi="Arial Rounded MT Bold"/>
      <w:b/>
      <w:bCs/>
      <w:color w:val="90ABB1" w:themeColor="accent1"/>
      <w:sz w:val="28"/>
      <w:szCs w:val="24"/>
      <w:lang w:val="en-US"/>
    </w:rPr>
  </w:style>
  <w:style w:type="character" w:customStyle="1" w:styleId="CommsHeading1Char">
    <w:name w:val="Comms Heading 1 Char"/>
    <w:basedOn w:val="Cmsor1Char"/>
    <w:link w:val="CommsHeading1"/>
    <w:rsid w:val="007E62DC"/>
    <w:rPr>
      <w:rFonts w:ascii="Trebuchet MS" w:hAnsi="Trebuchet MS"/>
      <w:b/>
      <w:bCs/>
      <w:color w:val="63858D" w:themeColor="accent1" w:themeShade="BF"/>
      <w:sz w:val="28"/>
      <w:szCs w:val="24"/>
      <w:lang w:val="en-US"/>
    </w:rPr>
  </w:style>
  <w:style w:type="paragraph" w:customStyle="1" w:styleId="CommsHeading111">
    <w:name w:val="Comms Heading 1.1.1"/>
    <w:link w:val="CommsHeading111Char"/>
    <w:rsid w:val="007E62DC"/>
    <w:pPr>
      <w:ind w:left="1789" w:hanging="360"/>
    </w:pPr>
    <w:rPr>
      <w:rFonts w:ascii="Trebuchet MS" w:hAnsi="Trebuchet MS"/>
      <w:color w:val="63858D" w:themeColor="accent1" w:themeShade="BF"/>
    </w:rPr>
  </w:style>
  <w:style w:type="character" w:customStyle="1" w:styleId="Cmsor2Char">
    <w:name w:val="Címsor 2 Char"/>
    <w:basedOn w:val="Privzetapisavaodstavka"/>
    <w:uiPriority w:val="9"/>
    <w:rsid w:val="00877C37"/>
    <w:rPr>
      <w:rFonts w:ascii="Arial Rounded MT Bold" w:hAnsi="Arial Rounded MT Bold"/>
      <w:b/>
      <w:bCs/>
      <w:iCs/>
      <w:color w:val="90ABB1" w:themeColor="accent1"/>
      <w:sz w:val="24"/>
      <w:szCs w:val="24"/>
      <w:lang w:val="en-US"/>
    </w:rPr>
  </w:style>
  <w:style w:type="character" w:customStyle="1" w:styleId="CommsHeading11Char">
    <w:name w:val="Comms Heading 1.1 Char"/>
    <w:basedOn w:val="Cmsor2Char"/>
    <w:link w:val="CommsHeading11"/>
    <w:rsid w:val="007E62DC"/>
    <w:rPr>
      <w:rFonts w:ascii="Trebuchet MS" w:eastAsia="Calibri" w:hAnsi="Trebuchet MS"/>
      <w:b/>
      <w:bCs/>
      <w:iCs/>
      <w:noProof/>
      <w:color w:val="63858D" w:themeColor="accent1" w:themeShade="BF"/>
      <w:sz w:val="24"/>
      <w:szCs w:val="22"/>
      <w:lang w:val="en-GB"/>
    </w:rPr>
  </w:style>
  <w:style w:type="paragraph" w:customStyle="1" w:styleId="CommsTextNormal">
    <w:name w:val="Comms Text Normal"/>
    <w:link w:val="CommsTextNormalChar"/>
    <w:rsid w:val="007E62DC"/>
  </w:style>
  <w:style w:type="character" w:customStyle="1" w:styleId="Cmsor3Char">
    <w:name w:val="Címsor 3 Char"/>
    <w:basedOn w:val="Privzetapisavaodstavka"/>
    <w:uiPriority w:val="9"/>
    <w:rsid w:val="00877C37"/>
    <w:rPr>
      <w:rFonts w:ascii="Arial Rounded MT Bold" w:hAnsi="Arial Rounded MT Bold"/>
      <w:b/>
      <w:iCs/>
      <w:color w:val="90ABB1" w:themeColor="accent1"/>
      <w:sz w:val="24"/>
      <w:szCs w:val="24"/>
      <w:lang w:val="en-US"/>
    </w:rPr>
  </w:style>
  <w:style w:type="character" w:customStyle="1" w:styleId="CommsHeading111Char">
    <w:name w:val="Comms Heading 1.1.1 Char"/>
    <w:basedOn w:val="Cmsor3Char"/>
    <w:link w:val="CommsHeading111"/>
    <w:rsid w:val="007E62DC"/>
    <w:rPr>
      <w:rFonts w:ascii="Trebuchet MS" w:eastAsia="Calibri" w:hAnsi="Trebuchet MS"/>
      <w:b/>
      <w:iCs/>
      <w:noProof/>
      <w:color w:val="63858D" w:themeColor="accent1" w:themeShade="BF"/>
      <w:sz w:val="24"/>
      <w:szCs w:val="24"/>
      <w:lang w:val="en-GB"/>
    </w:rPr>
  </w:style>
  <w:style w:type="paragraph" w:styleId="NaslovTOC">
    <w:name w:val="TOC Heading"/>
    <w:uiPriority w:val="39"/>
    <w:unhideWhenUsed/>
    <w:qFormat/>
    <w:rsid w:val="007E62DC"/>
    <w:pPr>
      <w:keepLines/>
      <w:spacing w:before="480"/>
    </w:pPr>
    <w:rPr>
      <w:rFonts w:asciiTheme="majorHAnsi" w:eastAsiaTheme="majorEastAsia" w:hAnsiTheme="majorHAnsi" w:cstheme="majorBidi"/>
      <w:color w:val="63858D" w:themeColor="accent1" w:themeShade="BF"/>
      <w:szCs w:val="28"/>
      <w:lang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autoRedefine/>
    <w:uiPriority w:val="39"/>
    <w:unhideWhenUsed/>
    <w:qFormat/>
    <w:rsid w:val="00051D5A"/>
    <w:pPr>
      <w:spacing w:before="360"/>
    </w:pPr>
    <w:rPr>
      <w:rFonts w:asciiTheme="majorHAnsi" w:hAnsiTheme="majorHAnsi"/>
      <w:b/>
      <w:bCs/>
      <w:caps/>
    </w:rPr>
  </w:style>
  <w:style w:type="paragraph" w:styleId="Kazalovsebine2">
    <w:name w:val="toc 2"/>
    <w:autoRedefine/>
    <w:uiPriority w:val="39"/>
    <w:unhideWhenUsed/>
    <w:qFormat/>
    <w:rsid w:val="002D4EE4"/>
    <w:pPr>
      <w:spacing w:before="240"/>
      <w:ind w:left="340" w:right="340"/>
    </w:pPr>
    <w:rPr>
      <w:rFonts w:asciiTheme="minorHAnsi" w:hAnsiTheme="minorHAnsi"/>
      <w:b/>
      <w:bCs/>
    </w:rPr>
  </w:style>
  <w:style w:type="paragraph" w:customStyle="1" w:styleId="ListDash1">
    <w:name w:val="List Dash 1"/>
    <w:basedOn w:val="Text1"/>
    <w:rsid w:val="007E62DC"/>
    <w:pPr>
      <w:numPr>
        <w:numId w:val="4"/>
      </w:numPr>
      <w:tabs>
        <w:tab w:val="num" w:pos="1069"/>
      </w:tabs>
      <w:ind w:left="1069"/>
    </w:pPr>
  </w:style>
  <w:style w:type="paragraph" w:customStyle="1" w:styleId="FSHeading3">
    <w:name w:val="FS Heading 3"/>
    <w:next w:val="FSNormal"/>
    <w:link w:val="FSHeading3Char"/>
    <w:autoRedefine/>
    <w:rsid w:val="007E62DC"/>
    <w:pPr>
      <w:tabs>
        <w:tab w:val="left" w:pos="284"/>
        <w:tab w:val="left" w:pos="709"/>
      </w:tabs>
      <w:spacing w:after="120" w:line="360" w:lineRule="auto"/>
      <w:jc w:val="center"/>
    </w:pPr>
    <w:rPr>
      <w:b/>
      <w:i/>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qFormat/>
    <w:rsid w:val="007E62DC"/>
    <w:rPr>
      <w:rFonts w:ascii="Calibri" w:eastAsia="Calibri" w:hAnsi="Calibri"/>
      <w:sz w:val="22"/>
      <w:szCs w:val="22"/>
    </w:rPr>
  </w:style>
  <w:style w:type="paragraph" w:styleId="Kazalovsebine3">
    <w:name w:val="toc 3"/>
    <w:autoRedefine/>
    <w:uiPriority w:val="39"/>
    <w:unhideWhenUsed/>
    <w:qFormat/>
    <w:rsid w:val="002D4EE4"/>
    <w:pPr>
      <w:ind w:left="510" w:right="340"/>
    </w:pPr>
    <w:rPr>
      <w:rFonts w:asciiTheme="minorHAnsi" w:hAnsiTheme="minorHAnsi"/>
    </w:rPr>
  </w:style>
  <w:style w:type="paragraph" w:styleId="Sprotnaopomba-besedilo">
    <w:name w:val="footnote text"/>
    <w:aliases w:val="CE-Footnote,Footnote"/>
    <w:basedOn w:val="CE-StandardText"/>
    <w:link w:val="Sprotnaopomba-besediloZnak"/>
    <w:uiPriority w:val="99"/>
    <w:unhideWhenUsed/>
    <w:qFormat/>
    <w:rsid w:val="00CD5462"/>
    <w:pPr>
      <w:spacing w:before="60"/>
    </w:pPr>
    <w:rPr>
      <w:color w:val="7F7F7F" w:themeColor="text1" w:themeTint="80"/>
      <w:sz w:val="17"/>
    </w:rPr>
  </w:style>
  <w:style w:type="character" w:customStyle="1" w:styleId="Sprotnaopomba-besediloZnak">
    <w:name w:val="Sprotna opomba - besedilo Znak"/>
    <w:aliases w:val="CE-Footnote Znak,Footnote Znak"/>
    <w:basedOn w:val="Privzetapisavaodstavka"/>
    <w:link w:val="Sprotnaopomba-besedilo"/>
    <w:uiPriority w:val="99"/>
    <w:rsid w:val="00CD5462"/>
    <w:rPr>
      <w:rFonts w:ascii="Trebuchet MS" w:hAnsi="Trebuchet MS"/>
      <w:color w:val="7F7F7F" w:themeColor="text1" w:themeTint="80"/>
      <w:sz w:val="17"/>
      <w:szCs w:val="18"/>
      <w:lang w:val="en-GB"/>
    </w:rPr>
  </w:style>
  <w:style w:type="character" w:styleId="Sprotnaopomba-sklic">
    <w:name w:val="footnote reference"/>
    <w:aliases w:val="ESPON Footnote No"/>
    <w:basedOn w:val="Privzetapisavaodstavka"/>
    <w:uiPriority w:val="99"/>
    <w:semiHidden/>
    <w:unhideWhenUsed/>
    <w:rsid w:val="007E62DC"/>
    <w:rPr>
      <w:vertAlign w:val="superscript"/>
    </w:rPr>
  </w:style>
  <w:style w:type="paragraph" w:styleId="Kazalovsebine4">
    <w:name w:val="toc 4"/>
    <w:autoRedefine/>
    <w:uiPriority w:val="39"/>
    <w:unhideWhenUsed/>
    <w:rsid w:val="006A676A"/>
    <w:pPr>
      <w:ind w:left="400"/>
    </w:pPr>
    <w:rPr>
      <w:rFonts w:asciiTheme="minorHAnsi" w:hAnsiTheme="minorHAnsi"/>
    </w:rPr>
  </w:style>
  <w:style w:type="paragraph" w:styleId="Kazalovsebine5">
    <w:name w:val="toc 5"/>
    <w:autoRedefine/>
    <w:uiPriority w:val="39"/>
    <w:unhideWhenUsed/>
    <w:rsid w:val="006A676A"/>
    <w:pPr>
      <w:ind w:left="600"/>
    </w:pPr>
    <w:rPr>
      <w:rFonts w:asciiTheme="minorHAnsi" w:hAnsiTheme="minorHAnsi"/>
    </w:rPr>
  </w:style>
  <w:style w:type="paragraph" w:styleId="Kazalovsebine6">
    <w:name w:val="toc 6"/>
    <w:autoRedefine/>
    <w:uiPriority w:val="39"/>
    <w:unhideWhenUsed/>
    <w:rsid w:val="006A676A"/>
    <w:pPr>
      <w:ind w:left="800"/>
    </w:pPr>
    <w:rPr>
      <w:rFonts w:asciiTheme="minorHAnsi" w:hAnsiTheme="minorHAnsi"/>
    </w:rPr>
  </w:style>
  <w:style w:type="paragraph" w:styleId="Kazalovsebine7">
    <w:name w:val="toc 7"/>
    <w:autoRedefine/>
    <w:uiPriority w:val="39"/>
    <w:unhideWhenUsed/>
    <w:rsid w:val="006A676A"/>
    <w:pPr>
      <w:ind w:left="1000"/>
    </w:pPr>
    <w:rPr>
      <w:rFonts w:asciiTheme="minorHAnsi" w:hAnsiTheme="minorHAnsi"/>
    </w:rPr>
  </w:style>
  <w:style w:type="paragraph" w:styleId="Kazalovsebine8">
    <w:name w:val="toc 8"/>
    <w:autoRedefine/>
    <w:uiPriority w:val="39"/>
    <w:unhideWhenUsed/>
    <w:rsid w:val="006A676A"/>
    <w:pPr>
      <w:ind w:left="1200"/>
    </w:pPr>
    <w:rPr>
      <w:rFonts w:asciiTheme="minorHAnsi" w:hAnsiTheme="minorHAnsi"/>
    </w:rPr>
  </w:style>
  <w:style w:type="paragraph" w:styleId="Kazalovsebine9">
    <w:name w:val="toc 9"/>
    <w:autoRedefine/>
    <w:uiPriority w:val="39"/>
    <w:unhideWhenUsed/>
    <w:rsid w:val="006A676A"/>
    <w:pPr>
      <w:ind w:left="1400"/>
    </w:pPr>
    <w:rPr>
      <w:rFonts w:asciiTheme="minorHAnsi" w:hAnsiTheme="minorHAnsi"/>
    </w:rPr>
  </w:style>
  <w:style w:type="paragraph" w:customStyle="1" w:styleId="IM1">
    <w:name w:val="IM 1"/>
    <w:basedOn w:val="CommsHeading1"/>
    <w:link w:val="IM1Zchn"/>
    <w:rsid w:val="00605FB6"/>
    <w:pPr>
      <w:numPr>
        <w:numId w:val="5"/>
      </w:numPr>
      <w:spacing w:before="120" w:after="120"/>
    </w:pPr>
  </w:style>
  <w:style w:type="paragraph" w:customStyle="1" w:styleId="IM2">
    <w:name w:val="IM 2"/>
    <w:basedOn w:val="CommsHeading11"/>
    <w:link w:val="IM2Zchn"/>
    <w:rsid w:val="00605FB6"/>
    <w:pPr>
      <w:numPr>
        <w:numId w:val="6"/>
      </w:numPr>
      <w:spacing w:before="120" w:after="120"/>
    </w:pPr>
  </w:style>
  <w:style w:type="character" w:customStyle="1" w:styleId="IM1Zchn">
    <w:name w:val="IM 1 Zchn"/>
    <w:basedOn w:val="CommsHeading1Char"/>
    <w:link w:val="IM1"/>
    <w:rsid w:val="00605FB6"/>
    <w:rPr>
      <w:rFonts w:ascii="Trebuchet MS" w:hAnsi="Trebuchet MS"/>
      <w:b/>
      <w:bCs/>
      <w:color w:val="63858D" w:themeColor="accent1" w:themeShade="BF"/>
      <w:sz w:val="28"/>
      <w:szCs w:val="24"/>
      <w:lang w:val="en-US"/>
    </w:rPr>
  </w:style>
  <w:style w:type="paragraph" w:customStyle="1" w:styleId="IM3">
    <w:name w:val="IM 3"/>
    <w:basedOn w:val="CommsHeading11"/>
    <w:link w:val="IM3Zchn"/>
    <w:rsid w:val="00605FB6"/>
    <w:pPr>
      <w:numPr>
        <w:numId w:val="7"/>
      </w:numPr>
      <w:spacing w:before="120" w:after="120"/>
    </w:pPr>
    <w:rPr>
      <w:color w:val="auto"/>
    </w:rPr>
  </w:style>
  <w:style w:type="character" w:customStyle="1" w:styleId="IM2Zchn">
    <w:name w:val="IM 2 Zchn"/>
    <w:basedOn w:val="CommsHeading11Char"/>
    <w:link w:val="IM2"/>
    <w:rsid w:val="00605FB6"/>
    <w:rPr>
      <w:rFonts w:ascii="Trebuchet MS" w:eastAsia="Calibri" w:hAnsi="Trebuchet MS"/>
      <w:b/>
      <w:bCs/>
      <w:iCs/>
      <w:noProof/>
      <w:color w:val="63858D" w:themeColor="accent1" w:themeShade="BF"/>
      <w:sz w:val="24"/>
      <w:szCs w:val="24"/>
      <w:lang w:val="en-US"/>
    </w:rPr>
  </w:style>
  <w:style w:type="character" w:customStyle="1" w:styleId="IM3Zchn">
    <w:name w:val="IM 3 Zchn"/>
    <w:basedOn w:val="CommsHeading11Char"/>
    <w:link w:val="IM3"/>
    <w:rsid w:val="00605FB6"/>
    <w:rPr>
      <w:rFonts w:ascii="Trebuchet MS" w:eastAsia="Calibri" w:hAnsi="Trebuchet MS"/>
      <w:b w:val="0"/>
      <w:bCs/>
      <w:iCs/>
      <w:noProof/>
      <w:color w:val="63858D" w:themeColor="accent1" w:themeShade="BF"/>
      <w:sz w:val="24"/>
      <w:szCs w:val="24"/>
      <w:lang w:val="en-US"/>
    </w:rPr>
  </w:style>
  <w:style w:type="table" w:styleId="Srednjesenenje1poudarek1">
    <w:name w:val="Medium Shading 1 Accent 1"/>
    <w:basedOn w:val="Navadnatabela"/>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rsid w:val="00DC05A9"/>
    <w:rPr>
      <w:rFonts w:ascii="Calibri" w:eastAsia="Calibri" w:hAnsi="Calibri"/>
      <w:sz w:val="22"/>
      <w:szCs w:val="22"/>
      <w:lang w:val="de-AT"/>
    </w:rPr>
  </w:style>
  <w:style w:type="paragraph" w:styleId="Telobesedila3">
    <w:name w:val="Body Text 3"/>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hAnsi="Verdana"/>
      <w:noProof/>
      <w:sz w:val="16"/>
      <w:lang w:val="en-GB"/>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num" w:pos="720"/>
        <w:tab w:val="left" w:pos="851"/>
      </w:tabs>
      <w:ind w:left="993" w:hanging="426"/>
    </w:pPr>
  </w:style>
  <w:style w:type="character" w:customStyle="1" w:styleId="bulletpointsZchn">
    <w:name w:val="bulletpoints Zchn"/>
    <w:basedOn w:val="OdstavekseznamaZnak"/>
    <w:link w:val="bulletpoints"/>
    <w:rsid w:val="00DE42C2"/>
    <w:rPr>
      <w:rFonts w:ascii="Trebuchet MS" w:eastAsia="Calibri" w:hAnsi="Trebuchet MS"/>
      <w:noProof/>
      <w:color w:val="000000" w:themeColor="text1"/>
      <w:sz w:val="22"/>
      <w:szCs w:val="18"/>
      <w:lang w:val="en-GB"/>
    </w:rPr>
  </w:style>
  <w:style w:type="table" w:styleId="Temenseznampoudarek1">
    <w:name w:val="Dark List Accent 1"/>
    <w:basedOn w:val="Navadnatabela"/>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OdstavekseznamaZnak"/>
    <w:link w:val="bulletpoints2"/>
    <w:rsid w:val="00DE42C2"/>
    <w:rPr>
      <w:rFonts w:ascii="Trebuchet MS" w:eastAsia="Calibri" w:hAnsi="Trebuchet MS"/>
      <w:noProof/>
      <w:color w:val="000000" w:themeColor="text1"/>
      <w:sz w:val="22"/>
      <w:szCs w:val="18"/>
      <w:lang w:val="en-GB"/>
    </w:rPr>
  </w:style>
  <w:style w:type="table" w:styleId="Srednjamrea3poudarek6">
    <w:name w:val="Medium Grid 3 Accent 6"/>
    <w:basedOn w:val="Navadnatabel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Navadnatabela"/>
    <w:uiPriority w:val="99"/>
    <w:rsid w:val="003C5F24"/>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link w:val="CE-Headline1Znak"/>
    <w:qFormat/>
    <w:rsid w:val="00502BC7"/>
    <w:pPr>
      <w:tabs>
        <w:tab w:val="num" w:pos="720"/>
      </w:tabs>
      <w:ind w:left="720" w:hanging="720"/>
    </w:pPr>
    <w:rPr>
      <w:rFonts w:asciiTheme="minorHAnsi" w:hAnsiTheme="minorHAnsi"/>
      <w:color w:val="708792" w:themeColor="background2"/>
      <w:spacing w:val="-10"/>
      <w:sz w:val="36"/>
      <w:szCs w:val="32"/>
      <w:lang w:eastAsia="de-AT"/>
    </w:rPr>
  </w:style>
  <w:style w:type="paragraph" w:customStyle="1" w:styleId="Headline2">
    <w:name w:val="Headline 2"/>
    <w:link w:val="Headline2Char"/>
    <w:rsid w:val="00E9195B"/>
    <w:pPr>
      <w:ind w:left="1418"/>
    </w:pPr>
    <w:rPr>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pPr>
    <w:rPr>
      <w:rFonts w:ascii="Trebuchet MS" w:hAnsi="Trebuchet MS"/>
      <w:i/>
      <w:sz w:val="18"/>
      <w:szCs w:val="18"/>
    </w:rPr>
  </w:style>
  <w:style w:type="paragraph" w:customStyle="1" w:styleId="Headline1part">
    <w:name w:val="Headline 1 part"/>
    <w:link w:val="Headline1partChar"/>
    <w:rsid w:val="000A739F"/>
    <w:pPr>
      <w:numPr>
        <w:numId w:val="11"/>
      </w:numPr>
      <w:ind w:left="1418" w:firstLine="0"/>
    </w:pPr>
    <w:rPr>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noProof/>
      <w:color w:val="90ABB1" w:themeColor="accent1"/>
      <w:sz w:val="28"/>
      <w:szCs w:val="28"/>
      <w:lang w:val="en-GB"/>
    </w:rPr>
  </w:style>
  <w:style w:type="character" w:customStyle="1" w:styleId="AttentionChar">
    <w:name w:val="Attention Char"/>
    <w:basedOn w:val="Headline2Char"/>
    <w:link w:val="Attention"/>
    <w:rsid w:val="001172B4"/>
    <w:rPr>
      <w:rFonts w:ascii="Trebuchet MS" w:eastAsia="Calibri" w:hAnsi="Trebuchet MS"/>
      <w:b w:val="0"/>
      <w:bCs/>
      <w:i/>
      <w:iCs/>
      <w:noProof/>
      <w:color w:val="90ABB1" w:themeColor="accent1"/>
      <w:sz w:val="18"/>
      <w:szCs w:val="18"/>
      <w:lang w:val="en-US"/>
    </w:rPr>
  </w:style>
  <w:style w:type="paragraph" w:customStyle="1" w:styleId="HeadlineA1">
    <w:name w:val="Headline A1."/>
    <w:link w:val="HeadlineA1Char"/>
    <w:rsid w:val="000A739F"/>
  </w:style>
  <w:style w:type="character" w:customStyle="1" w:styleId="Headline1partChar">
    <w:name w:val="Headline 1 part Char"/>
    <w:basedOn w:val="Cmsor2Char"/>
    <w:link w:val="Headline1part"/>
    <w:rsid w:val="000A739F"/>
    <w:rPr>
      <w:rFonts w:ascii="Arial Rounded MT Bold" w:hAnsi="Arial Rounded MT Bold"/>
      <w:b w:val="0"/>
      <w:bCs/>
      <w:iCs/>
      <w:color w:val="90ABB1" w:themeColor="accent1"/>
      <w:sz w:val="32"/>
      <w:szCs w:val="32"/>
      <w:lang w:val="en-US"/>
    </w:rPr>
  </w:style>
  <w:style w:type="paragraph" w:customStyle="1" w:styleId="HeadlineA11">
    <w:name w:val="Headline A.1.1"/>
    <w:rsid w:val="000A739F"/>
  </w:style>
  <w:style w:type="character" w:customStyle="1" w:styleId="HeadlineA1Char">
    <w:name w:val="Headline A1. Char"/>
    <w:basedOn w:val="Cmsor2Char"/>
    <w:link w:val="HeadlineA1"/>
    <w:rsid w:val="000A739F"/>
    <w:rPr>
      <w:rFonts w:ascii="Arial Rounded MT Bold" w:hAnsi="Arial Rounded MT Bold"/>
      <w:b w:val="0"/>
      <w:bCs/>
      <w:iCs/>
      <w:color w:val="90ABB1" w:themeColor="accent1"/>
      <w:sz w:val="24"/>
      <w:szCs w:val="24"/>
      <w:lang w:val="en-US"/>
    </w:rPr>
  </w:style>
  <w:style w:type="paragraph" w:customStyle="1" w:styleId="A11">
    <w:name w:val="A.1.1"/>
    <w:basedOn w:val="HeadlineA11"/>
    <w:rsid w:val="001C50A4"/>
    <w:pPr>
      <w:ind w:left="2204" w:hanging="360"/>
    </w:pPr>
  </w:style>
  <w:style w:type="paragraph" w:customStyle="1" w:styleId="Style1">
    <w:name w:val="Style1"/>
    <w:basedOn w:val="HeadlineA11"/>
    <w:rsid w:val="0047724A"/>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pPr>
      <w:ind w:left="862"/>
    </w:pPr>
  </w:style>
  <w:style w:type="paragraph" w:customStyle="1" w:styleId="A111">
    <w:name w:val="A.1.1.1"/>
    <w:basedOn w:val="3H"/>
    <w:rsid w:val="000B51C5"/>
    <w:rPr>
      <w:i/>
      <w:sz w:val="20"/>
      <w:szCs w:val="24"/>
    </w:rPr>
  </w:style>
  <w:style w:type="table" w:customStyle="1" w:styleId="CE-Table1">
    <w:name w:val="CE-Table 1"/>
    <w:basedOn w:val="Navadnatabela"/>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Sitka Subheading" w:hAnsi="Sitka Subheading"/>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Sitka Subheading" w:hAnsi="Sitka Subheading"/>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rPr>
  </w:style>
  <w:style w:type="paragraph" w:styleId="Telobesedila2">
    <w:name w:val="Body Text 2"/>
    <w:link w:val="Telobesedila2Znak"/>
    <w:uiPriority w:val="99"/>
    <w:unhideWhenUsed/>
    <w:rsid w:val="00995597"/>
    <w:pPr>
      <w:ind w:right="28"/>
    </w:pPr>
    <w:rPr>
      <w:color w:val="FFFFFF" w:themeColor="background1"/>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style>
  <w:style w:type="paragraph" w:customStyle="1" w:styleId="EinfAbs">
    <w:name w:val="[Einf. Abs.]"/>
    <w:uiPriority w:val="99"/>
    <w:rsid w:val="000B21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paragraph" w:customStyle="1" w:styleId="CE-Headline2">
    <w:name w:val="CE-Headline 2"/>
    <w:link w:val="CE-Headline2Char"/>
    <w:qFormat/>
    <w:rsid w:val="0031148E"/>
    <w:pPr>
      <w:tabs>
        <w:tab w:val="num" w:pos="1440"/>
      </w:tabs>
      <w:spacing w:before="360"/>
      <w:ind w:left="426" w:right="522" w:hanging="720"/>
    </w:pPr>
    <w:rPr>
      <w:rFonts w:asciiTheme="minorHAnsi" w:hAnsiTheme="minorHAnsi"/>
      <w:sz w:val="28"/>
      <w:szCs w:val="28"/>
    </w:rPr>
  </w:style>
  <w:style w:type="paragraph" w:customStyle="1" w:styleId="CE-Headline4">
    <w:name w:val="CE-Headline 4"/>
    <w:basedOn w:val="Headline2"/>
    <w:link w:val="CE-Headline4Zchn"/>
    <w:qFormat/>
    <w:rsid w:val="00CD5462"/>
    <w:pPr>
      <w:numPr>
        <w:ilvl w:val="3"/>
        <w:numId w:val="14"/>
      </w:numPr>
      <w:tabs>
        <w:tab w:val="left" w:pos="1418"/>
      </w:tabs>
      <w:ind w:right="340"/>
    </w:pPr>
    <w:rPr>
      <w:rFonts w:ascii="Trebuchet MS" w:hAnsi="Trebuchet MS"/>
      <w:b/>
      <w:color w:val="708792" w:themeColor="background2"/>
      <w:sz w:val="20"/>
      <w:szCs w:val="24"/>
    </w:rPr>
  </w:style>
  <w:style w:type="character" w:customStyle="1" w:styleId="CE-Headline1Znak">
    <w:name w:val="CE-Headline 1 Znak"/>
    <w:basedOn w:val="Cmsor2Char"/>
    <w:link w:val="CE-Headline1"/>
    <w:rsid w:val="00502BC7"/>
    <w:rPr>
      <w:rFonts w:asciiTheme="minorHAnsi" w:hAnsiTheme="minorHAnsi"/>
      <w:b/>
      <w:bCs/>
      <w:iCs w:val="0"/>
      <w:noProof/>
      <w:color w:val="708792" w:themeColor="background2"/>
      <w:spacing w:val="-10"/>
      <w:sz w:val="36"/>
      <w:szCs w:val="32"/>
      <w:lang w:val="en-GB" w:eastAsia="de-AT"/>
    </w:rPr>
  </w:style>
  <w:style w:type="character" w:customStyle="1" w:styleId="CE-Headline2Char">
    <w:name w:val="CE-Headline 2 Char"/>
    <w:basedOn w:val="CE-Headline1Znak"/>
    <w:link w:val="CE-Headline2"/>
    <w:rsid w:val="0031148E"/>
    <w:rPr>
      <w:rFonts w:asciiTheme="minorHAnsi" w:hAnsiTheme="minorHAnsi"/>
      <w:b/>
      <w:bCs/>
      <w:iCs/>
      <w:noProof/>
      <w:color w:val="90ABB1" w:themeColor="accent1"/>
      <w:spacing w:val="-10"/>
      <w:sz w:val="28"/>
      <w:szCs w:val="28"/>
      <w:lang w:val="en-GB" w:eastAsia="de-AT"/>
    </w:rPr>
  </w:style>
  <w:style w:type="paragraph" w:customStyle="1" w:styleId="CE-StandardText">
    <w:name w:val="CE-StandardText"/>
    <w:link w:val="CE-StandardTextZchn"/>
    <w:qFormat/>
    <w:rsid w:val="00CD5462"/>
    <w:rPr>
      <w:rFonts w:ascii="Trebuchet MS" w:hAnsi="Trebuchet MS"/>
      <w:color w:val="000000" w:themeColor="text1"/>
      <w:szCs w:val="18"/>
    </w:rPr>
  </w:style>
  <w:style w:type="character" w:customStyle="1" w:styleId="CE-Headline4Zchn">
    <w:name w:val="CE-Headline 4 Zchn"/>
    <w:basedOn w:val="Headline2Char"/>
    <w:link w:val="CE-Headline4"/>
    <w:rsid w:val="00CD5462"/>
    <w:rPr>
      <w:rFonts w:ascii="Trebuchet MS" w:eastAsia="Calibri" w:hAnsi="Trebuchet MS"/>
      <w:b/>
      <w:bCs/>
      <w:iCs/>
      <w:noProof/>
      <w:color w:val="708792" w:themeColor="background2"/>
      <w:sz w:val="28"/>
      <w:szCs w:val="24"/>
      <w:lang w:val="en-US"/>
    </w:rPr>
  </w:style>
  <w:style w:type="paragraph" w:customStyle="1" w:styleId="CE-List-Bullet">
    <w:name w:val="CE-List-Bullet"/>
    <w:basedOn w:val="CE-StandardText"/>
    <w:link w:val="CE-List-BulletZchn"/>
    <w:rsid w:val="00C33CB3"/>
    <w:pPr>
      <w:numPr>
        <w:numId w:val="13"/>
      </w:numPr>
    </w:pPr>
  </w:style>
  <w:style w:type="character" w:customStyle="1" w:styleId="CE-StandardTextZchn">
    <w:name w:val="CE-StandardText Zchn"/>
    <w:basedOn w:val="Privzetapisavaodstavka"/>
    <w:link w:val="CE-StandardText"/>
    <w:rsid w:val="00CD5462"/>
    <w:rPr>
      <w:rFonts w:ascii="Trebuchet MS" w:hAnsi="Trebuchet MS"/>
      <w:color w:val="000000" w:themeColor="text1"/>
      <w:szCs w:val="18"/>
      <w:lang w:val="en-GB"/>
    </w:rPr>
  </w:style>
  <w:style w:type="paragraph" w:customStyle="1" w:styleId="CE-List-Numbers">
    <w:name w:val="CE-List-Numbers"/>
    <w:basedOn w:val="CE-StandardText"/>
    <w:link w:val="CE-List-NumbersZchn"/>
    <w:rsid w:val="0068495D"/>
    <w:pPr>
      <w:tabs>
        <w:tab w:val="left" w:pos="284"/>
        <w:tab w:val="num" w:pos="720"/>
      </w:tabs>
      <w:ind w:left="567" w:hanging="720"/>
    </w:pPr>
  </w:style>
  <w:style w:type="character" w:customStyle="1" w:styleId="CE-List-BulletZchn">
    <w:name w:val="CE-List-Bullet Zchn"/>
    <w:basedOn w:val="CE-StandardTextZchn"/>
    <w:link w:val="CE-List-Bullet"/>
    <w:rsid w:val="00C33CB3"/>
    <w:rPr>
      <w:rFonts w:ascii="Trebuchet MS" w:hAnsi="Trebuchet MS"/>
      <w:color w:val="000000" w:themeColor="text1"/>
      <w:sz w:val="24"/>
      <w:szCs w:val="18"/>
      <w:lang w:val="en-US"/>
    </w:rPr>
  </w:style>
  <w:style w:type="paragraph" w:customStyle="1" w:styleId="PubTitle">
    <w:name w:val="Pub.Title"/>
    <w:link w:val="PubTitleZchn"/>
    <w:rsid w:val="001A4AC1"/>
    <w:pPr>
      <w:spacing w:line="760" w:lineRule="exact"/>
    </w:pPr>
    <w:rPr>
      <w:rFonts w:ascii="Trebuchet MS" w:hAnsi="Trebuchet MS"/>
      <w:b/>
      <w:spacing w:val="-20"/>
      <w:kern w:val="72"/>
      <w:sz w:val="72"/>
      <w:szCs w:val="72"/>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en-GB"/>
    </w:rPr>
  </w:style>
  <w:style w:type="paragraph" w:customStyle="1" w:styleId="CE-TableHead">
    <w:name w:val="CE-Table Head"/>
    <w:basedOn w:val="CE-Headline2"/>
    <w:link w:val="CE-TableHeadZchn"/>
    <w:qFormat/>
    <w:rsid w:val="00C33CB3"/>
    <w:pPr>
      <w:tabs>
        <w:tab w:val="clear" w:pos="1440"/>
      </w:tabs>
      <w:ind w:left="360" w:hanging="360"/>
    </w:pPr>
    <w:rPr>
      <w:rFonts w:eastAsiaTheme="minorHAnsi" w:cstheme="minorBidi"/>
      <w:color w:val="FFFFFF" w:themeColor="background1"/>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rPr>
  </w:style>
  <w:style w:type="paragraph" w:customStyle="1" w:styleId="TableText">
    <w:name w:val="Table Text"/>
    <w:link w:val="TableTextZchn"/>
    <w:autoRedefine/>
    <w:qFormat/>
    <w:rsid w:val="00C33CB3"/>
    <w:rPr>
      <w:rFonts w:ascii="Trebuchet MS" w:hAnsi="Trebuchet MS"/>
      <w:color w:val="0A5188" w:themeColor="accent6" w:themeShade="BF"/>
      <w:spacing w:val="-2"/>
      <w:sz w:val="16"/>
      <w:szCs w:val="15"/>
    </w:rPr>
  </w:style>
  <w:style w:type="character" w:customStyle="1" w:styleId="CE-TableHeadZchn">
    <w:name w:val="CE-Table Head Zchn"/>
    <w:basedOn w:val="CE-Headline2Char"/>
    <w:link w:val="CE-TableHead"/>
    <w:rsid w:val="00C33CB3"/>
    <w:rPr>
      <w:rFonts w:asciiTheme="minorHAnsi" w:eastAsiaTheme="minorHAnsi" w:hAnsiTheme="minorHAnsi"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pPr>
    <w:rPr>
      <w:color w:val="0A5188" w:themeColor="accent6" w:themeShade="BF"/>
      <w:spacing w:val="-2"/>
      <w:sz w:val="16"/>
      <w:szCs w:val="16"/>
    </w:rPr>
  </w:style>
  <w:style w:type="character" w:customStyle="1" w:styleId="TableTextZchn">
    <w:name w:val="Table Text Zchn"/>
    <w:basedOn w:val="Privzetapisavaodstavka"/>
    <w:link w:val="TableText"/>
    <w:rsid w:val="00C33CB3"/>
    <w:rPr>
      <w:rFonts w:ascii="Trebuchet MS" w:hAnsi="Trebuchet MS"/>
      <w:color w:val="0A5188"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en-US" w:eastAsia="de-DE"/>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en-US" w:eastAsia="de-DE"/>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lang w:val="en-GB"/>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style>
  <w:style w:type="paragraph" w:customStyle="1" w:styleId="CE-BulletPoint1">
    <w:name w:val="CE-BulletPoint1"/>
    <w:basedOn w:val="CE-StandardText"/>
    <w:link w:val="CE-BulletPoint1Zchn"/>
    <w:rsid w:val="00CD5462"/>
    <w:pPr>
      <w:tabs>
        <w:tab w:val="num" w:pos="720"/>
      </w:tabs>
      <w:ind w:left="284" w:hanging="284"/>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en-GB"/>
    </w:rPr>
  </w:style>
  <w:style w:type="paragraph" w:customStyle="1" w:styleId="CE-BulletPoint2">
    <w:name w:val="CE-BulletPoint2"/>
    <w:basedOn w:val="CE-BulletPoint1"/>
    <w:link w:val="CE-BulletPoint2Zchn"/>
    <w:rsid w:val="00706D40"/>
    <w:pPr>
      <w:ind w:left="720" w:hanging="720"/>
    </w:pPr>
  </w:style>
  <w:style w:type="paragraph" w:customStyle="1" w:styleId="CE-BulletPoint3">
    <w:name w:val="CE-BulletPoint3"/>
    <w:basedOn w:val="CE-BulletPoint1"/>
    <w:link w:val="CE-BulletPoint3Zchn"/>
    <w:rsid w:val="00DE42C2"/>
    <w:pPr>
      <w:numPr>
        <w:ilvl w:val="2"/>
      </w:numPr>
      <w:tabs>
        <w:tab w:val="num" w:pos="720"/>
      </w:tabs>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en-GB"/>
    </w:rPr>
  </w:style>
  <w:style w:type="paragraph" w:customStyle="1" w:styleId="CE-TableStandardWhite">
    <w:name w:val="CE-Table Standard White"/>
    <w:basedOn w:val="CE-StandardText"/>
    <w:link w:val="CE-TableStandardWhiteZchn"/>
    <w:qFormat/>
    <w:rsid w:val="00C33CB3"/>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noProof/>
      <w:color w:val="000000" w:themeColor="text1"/>
      <w:szCs w:val="18"/>
      <w:lang w:val="en-GB"/>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t">
    <w:name w:val="Quote"/>
    <w:aliases w:val="CE-Quotation"/>
    <w:next w:val="CE-StandardText"/>
    <w:link w:val="CitatZnak"/>
    <w:uiPriority w:val="29"/>
    <w:qFormat/>
    <w:rsid w:val="00C33CB3"/>
    <w:pPr>
      <w:spacing w:after="200"/>
    </w:pPr>
    <w:rPr>
      <w:rFonts w:ascii="Trebuchet MS" w:eastAsiaTheme="minorEastAsia" w:hAnsi="Trebuchet MS" w:cstheme="minorBidi"/>
      <w:b/>
      <w:iCs/>
      <w:color w:val="C8D3D8" w:themeColor="accent2"/>
      <w:sz w:val="18"/>
      <w:szCs w:val="22"/>
      <w:lang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en-GB"/>
    </w:rPr>
  </w:style>
  <w:style w:type="character" w:customStyle="1" w:styleId="CitatZnak">
    <w:name w:val="Citat Znak"/>
    <w:aliases w:val="CE-Quotation Znak"/>
    <w:basedOn w:val="Privzetapisavaodstavka"/>
    <w:link w:val="Citat"/>
    <w:uiPriority w:val="29"/>
    <w:rsid w:val="00C33CB3"/>
    <w:rPr>
      <w:rFonts w:ascii="Trebuchet MS" w:eastAsiaTheme="minorEastAsia" w:hAnsi="Trebuchet MS" w:cstheme="minorBidi"/>
      <w:b/>
      <w:iCs/>
      <w:color w:val="C8D3D8"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en-US"/>
    </w:rPr>
  </w:style>
  <w:style w:type="numbering" w:customStyle="1" w:styleId="CE-List">
    <w:name w:val="CE-List"/>
    <w:uiPriority w:val="99"/>
    <w:rsid w:val="00E3317E"/>
  </w:style>
  <w:style w:type="numbering" w:customStyle="1" w:styleId="Formatvorlage1">
    <w:name w:val="Formatvorlage1"/>
    <w:uiPriority w:val="99"/>
    <w:rsid w:val="001161C3"/>
  </w:style>
  <w:style w:type="table" w:customStyle="1" w:styleId="CE-TableExample">
    <w:name w:val="CE-Table Example"/>
    <w:basedOn w:val="Navadnatabela"/>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Sitka Subheading" w:hAnsi="Sitka Subheading"/>
        <w:b w:val="0"/>
        <w:i w:val="0"/>
        <w:caps/>
        <w:smallCaps w:val="0"/>
        <w:strike w:val="0"/>
        <w:dstrike w:val="0"/>
        <w:vanish w:val="0"/>
        <w:color w:val="708792" w:themeColor="background2"/>
        <w:sz w:val="60"/>
        <w:vertAlign w:val="baseline"/>
      </w:rPr>
    </w:tblStylePr>
  </w:style>
  <w:style w:type="table" w:styleId="Svetelseznam">
    <w:name w:val="Light List"/>
    <w:basedOn w:val="Navadnatabel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en-GB"/>
    </w:rPr>
  </w:style>
  <w:style w:type="table" w:customStyle="1" w:styleId="GridTable5Dark-Accent11">
    <w:name w:val="Grid Table 5 Dark - Accent 11"/>
    <w:basedOn w:val="Navadnatabela"/>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style>
  <w:style w:type="paragraph" w:customStyle="1" w:styleId="CE-Headline3">
    <w:name w:val="CE-Headline 3"/>
    <w:link w:val="CE-Headline3Char"/>
    <w:qFormat/>
    <w:rsid w:val="0004533B"/>
    <w:pPr>
      <w:numPr>
        <w:ilvl w:val="2"/>
        <w:numId w:val="14"/>
      </w:numPr>
      <w:spacing w:before="360" w:after="120"/>
      <w:ind w:left="426" w:hanging="426"/>
    </w:pPr>
    <w:rPr>
      <w:rFonts w:asciiTheme="minorHAnsi" w:hAnsiTheme="minorHAnsi"/>
      <w:lang w:eastAsia="de-AT"/>
    </w:rPr>
  </w:style>
  <w:style w:type="paragraph" w:customStyle="1" w:styleId="CE-Quote">
    <w:name w:val="CE-Quote"/>
    <w:basedOn w:val="CE-StandardText"/>
    <w:link w:val="CE-QuoteZchn"/>
    <w:qFormat/>
    <w:rsid w:val="001F57EC"/>
    <w:rPr>
      <w:i/>
      <w:lang w:eastAsia="de-AT"/>
    </w:rPr>
  </w:style>
  <w:style w:type="character" w:customStyle="1" w:styleId="CE-Headline3Char">
    <w:name w:val="CE-Headline 3 Char"/>
    <w:basedOn w:val="CE-Headline4Zchn"/>
    <w:link w:val="CE-Headline3"/>
    <w:rsid w:val="0004533B"/>
    <w:rPr>
      <w:rFonts w:asciiTheme="minorHAnsi" w:eastAsia="Calibri" w:hAnsiTheme="minorHAnsi"/>
      <w:b/>
      <w:bCs w:val="0"/>
      <w:iCs/>
      <w:noProof/>
      <w:color w:val="90ABB1" w:themeColor="accent1"/>
      <w:sz w:val="24"/>
      <w:szCs w:val="24"/>
      <w:lang w:val="en-US"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en-GB" w:eastAsia="de-AT"/>
    </w:rPr>
  </w:style>
  <w:style w:type="numbering" w:customStyle="1" w:styleId="CE-ListStandardText">
    <w:name w:val="CE-List StandardText"/>
    <w:uiPriority w:val="99"/>
    <w:rsid w:val="005C49B1"/>
  </w:style>
  <w:style w:type="numbering" w:customStyle="1" w:styleId="CE-HeadNumbering">
    <w:name w:val="CE-HeadNumbering"/>
    <w:uiPriority w:val="99"/>
    <w:rsid w:val="003F0BC1"/>
  </w:style>
  <w:style w:type="paragraph" w:customStyle="1" w:styleId="CE-HeadlineChapter">
    <w:name w:val="CE-Headline Chapter"/>
    <w:basedOn w:val="CE-Headline1"/>
    <w:next w:val="CE-Headline1"/>
    <w:link w:val="CE-HeadlineChapterZchn"/>
    <w:qFormat/>
    <w:rsid w:val="00CD5462"/>
    <w:p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ind w:left="0" w:firstLine="0"/>
    </w:pPr>
    <w:rPr>
      <w:color w:val="FFFFFF" w:themeColor="background1"/>
    </w:rPr>
  </w:style>
  <w:style w:type="character" w:customStyle="1" w:styleId="CE-HeadlineChapterZchn">
    <w:name w:val="CE-Headline Chapter Zchn"/>
    <w:basedOn w:val="CE-Headline1Znak"/>
    <w:link w:val="CE-HeadlineChapter"/>
    <w:rsid w:val="00CD5462"/>
    <w:rPr>
      <w:rFonts w:asciiTheme="minorHAnsi" w:hAnsiTheme="minorHAnsi"/>
      <w:b/>
      <w:bCs/>
      <w:iCs w:val="0"/>
      <w:noProof/>
      <w:color w:val="FFFFFF" w:themeColor="background1"/>
      <w:spacing w:val="-10"/>
      <w:sz w:val="36"/>
      <w:szCs w:val="32"/>
      <w:shd w:val="clear" w:color="auto" w:fill="708792" w:themeFill="background2"/>
      <w:lang w:val="en-GB" w:eastAsia="de-AT"/>
    </w:rPr>
  </w:style>
  <w:style w:type="paragraph" w:customStyle="1" w:styleId="CE-HeadlineSubtitle">
    <w:name w:val="CE-Headline Subtitle"/>
    <w:basedOn w:val="CE-Headline1"/>
    <w:link w:val="CE-HeadlineSubtitleZchn"/>
    <w:qFormat/>
    <w:rsid w:val="009805EB"/>
    <w:pPr>
      <w:tabs>
        <w:tab w:val="clear" w:pos="720"/>
      </w:tabs>
      <w:spacing w:before="80" w:after="80"/>
      <w:ind w:left="0" w:firstLine="0"/>
    </w:pPr>
    <w:rPr>
      <w:sz w:val="32"/>
    </w:rPr>
  </w:style>
  <w:style w:type="character" w:customStyle="1" w:styleId="CE-HeadlineSubtitleZchn">
    <w:name w:val="CE-Headline Subtitle Zchn"/>
    <w:basedOn w:val="CE-Headline1Znak"/>
    <w:link w:val="CE-HeadlineSubtitle"/>
    <w:rsid w:val="009805EB"/>
    <w:rPr>
      <w:rFonts w:ascii="Trebuchet MS" w:hAnsi="Trebuchet MS"/>
      <w:b/>
      <w:bCs/>
      <w:iCs w:val="0"/>
      <w:noProof/>
      <w:color w:val="708792" w:themeColor="background2"/>
      <w:spacing w:val="-10"/>
      <w:sz w:val="32"/>
      <w:szCs w:val="32"/>
      <w:lang w:val="en-GB" w:eastAsia="de-AT"/>
    </w:rPr>
  </w:style>
  <w:style w:type="paragraph" w:styleId="Konnaopomba-besedilo">
    <w:name w:val="endnote text"/>
    <w:link w:val="Konnaopomba-besediloZnak"/>
    <w:uiPriority w:val="99"/>
    <w:semiHidden/>
    <w:unhideWhenUsed/>
    <w:rsid w:val="008E682E"/>
  </w:style>
  <w:style w:type="character" w:customStyle="1" w:styleId="Konnaopomba-besediloZnak">
    <w:name w:val="Končna opomba - besedilo Znak"/>
    <w:basedOn w:val="Privzetapisavaodstavka"/>
    <w:link w:val="Konnaopomba-besedilo"/>
    <w:uiPriority w:val="99"/>
    <w:semiHidden/>
    <w:rsid w:val="008E682E"/>
  </w:style>
  <w:style w:type="character" w:styleId="Konnaopomba-sklic">
    <w:name w:val="endnote reference"/>
    <w:basedOn w:val="Privzetapisavaodstavka"/>
    <w:uiPriority w:val="99"/>
    <w:semiHidden/>
    <w:unhideWhenUsed/>
    <w:rsid w:val="008E682E"/>
    <w:rPr>
      <w:vertAlign w:val="superscript"/>
    </w:rPr>
  </w:style>
  <w:style w:type="paragraph" w:customStyle="1" w:styleId="Lists">
    <w:name w:val="Lists"/>
    <w:basedOn w:val="CE-BulletPoint1"/>
    <w:link w:val="ListsZchn"/>
    <w:qFormat/>
    <w:rsid w:val="004D17E9"/>
    <w:pPr>
      <w:ind w:left="567"/>
    </w:pPr>
    <w:rPr>
      <w:lang w:val="hu-HU"/>
    </w:rPr>
  </w:style>
  <w:style w:type="character" w:customStyle="1" w:styleId="ListsZchn">
    <w:name w:val="Lists Zchn"/>
    <w:basedOn w:val="CE-BulletPoint1Zchn"/>
    <w:link w:val="Lists"/>
    <w:rsid w:val="004D17E9"/>
    <w:rPr>
      <w:rFonts w:ascii="Trebuchet MS" w:hAnsi="Trebuchet MS"/>
      <w:noProof/>
      <w:color w:val="000000" w:themeColor="text1"/>
      <w:szCs w:val="18"/>
      <w:lang w:val="hu-HU"/>
    </w:rPr>
  </w:style>
  <w:style w:type="paragraph" w:styleId="Napis">
    <w:name w:val="caption"/>
    <w:unhideWhenUsed/>
    <w:rsid w:val="005D5312"/>
    <w:pPr>
      <w:spacing w:after="200"/>
    </w:pPr>
    <w:rPr>
      <w:i/>
      <w:iCs/>
      <w:color w:val="0C0C0C" w:themeColor="text2"/>
      <w:sz w:val="18"/>
      <w:szCs w:val="18"/>
    </w:rPr>
  </w:style>
  <w:style w:type="character" w:customStyle="1" w:styleId="Feloldatlanmegemlts1">
    <w:name w:val="Feloldatlan megemlítés1"/>
    <w:basedOn w:val="Privzetapisavaodstavka"/>
    <w:uiPriority w:val="99"/>
    <w:semiHidden/>
    <w:unhideWhenUsed/>
    <w:rsid w:val="003377F0"/>
    <w:rPr>
      <w:color w:val="605E5C"/>
      <w:shd w:val="clear" w:color="auto" w:fill="E1DFDD"/>
    </w:rPr>
  </w:style>
  <w:style w:type="paragraph" w:styleId="Bibliografija">
    <w:name w:val="Bibliography"/>
    <w:uiPriority w:val="37"/>
    <w:unhideWhenUsed/>
    <w:rsid w:val="00C26B56"/>
  </w:style>
  <w:style w:type="table" w:customStyle="1" w:styleId="PlainTable11">
    <w:name w:val="Plain Table 11"/>
    <w:basedOn w:val="Navadnatabela"/>
    <w:uiPriority w:val="41"/>
    <w:rsid w:val="009C5C2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Navadnatabela"/>
    <w:uiPriority w:val="49"/>
    <w:rsid w:val="00553FC9"/>
    <w:tblPr>
      <w:tblStyleRowBandSize w:val="1"/>
      <w:tblStyleColBandSize w:val="1"/>
      <w:tblBorders>
        <w:top w:val="single" w:sz="4" w:space="0" w:color="F9B88D" w:themeColor="accent5" w:themeTint="99"/>
        <w:left w:val="single" w:sz="4" w:space="0" w:color="F9B88D" w:themeColor="accent5" w:themeTint="99"/>
        <w:bottom w:val="single" w:sz="4" w:space="0" w:color="F9B88D" w:themeColor="accent5" w:themeTint="99"/>
        <w:right w:val="single" w:sz="4" w:space="0" w:color="F9B88D" w:themeColor="accent5" w:themeTint="99"/>
        <w:insideH w:val="single" w:sz="4" w:space="0" w:color="F9B88D" w:themeColor="accent5" w:themeTint="99"/>
        <w:insideV w:val="single" w:sz="4" w:space="0" w:color="F9B88D" w:themeColor="accent5" w:themeTint="99"/>
      </w:tblBorders>
    </w:tblPr>
    <w:tblStylePr w:type="firstRow">
      <w:rPr>
        <w:b/>
        <w:bCs/>
        <w:color w:val="FFFFFF" w:themeColor="background1"/>
      </w:rPr>
      <w:tblPr/>
      <w:tcPr>
        <w:tcBorders>
          <w:top w:val="single" w:sz="4" w:space="0" w:color="F68A42" w:themeColor="accent5"/>
          <w:left w:val="single" w:sz="4" w:space="0" w:color="F68A42" w:themeColor="accent5"/>
          <w:bottom w:val="single" w:sz="4" w:space="0" w:color="F68A42" w:themeColor="accent5"/>
          <w:right w:val="single" w:sz="4" w:space="0" w:color="F68A42" w:themeColor="accent5"/>
          <w:insideH w:val="nil"/>
          <w:insideV w:val="nil"/>
        </w:tcBorders>
        <w:shd w:val="clear" w:color="auto" w:fill="F68A42" w:themeFill="accent5"/>
      </w:tcPr>
    </w:tblStylePr>
    <w:tblStylePr w:type="lastRow">
      <w:rPr>
        <w:b/>
        <w:bCs/>
      </w:rPr>
      <w:tblPr/>
      <w:tcPr>
        <w:tcBorders>
          <w:top w:val="double" w:sz="4" w:space="0" w:color="F68A42" w:themeColor="accent5"/>
        </w:tcBorders>
      </w:tcPr>
    </w:tblStylePr>
    <w:tblStylePr w:type="firstCol">
      <w:rPr>
        <w:b/>
        <w:bCs/>
      </w:rPr>
    </w:tblStylePr>
    <w:tblStylePr w:type="lastCol">
      <w:rPr>
        <w:b/>
        <w:bCs/>
      </w:rPr>
    </w:tblStylePr>
    <w:tblStylePr w:type="band1Vert">
      <w:tblPr/>
      <w:tcPr>
        <w:shd w:val="clear" w:color="auto" w:fill="FDE7D9" w:themeFill="accent5" w:themeFillTint="33"/>
      </w:tcPr>
    </w:tblStylePr>
    <w:tblStylePr w:type="band1Horz">
      <w:tblPr/>
      <w:tcPr>
        <w:shd w:val="clear" w:color="auto" w:fill="FDE7D9" w:themeFill="accent5" w:themeFillTint="33"/>
      </w:tcPr>
    </w:tblStylePr>
  </w:style>
  <w:style w:type="table" w:customStyle="1" w:styleId="GridTable4-Accent41">
    <w:name w:val="Grid Table 4 - Accent 41"/>
    <w:basedOn w:val="Navadnatabela"/>
    <w:uiPriority w:val="49"/>
    <w:rsid w:val="004F23BF"/>
    <w:tblPr>
      <w:tblStyleRowBandSize w:val="1"/>
      <w:tblStyleColBandSize w:val="1"/>
      <w:tblBorders>
        <w:top w:val="single" w:sz="4" w:space="0" w:color="C2DF89" w:themeColor="accent4" w:themeTint="99"/>
        <w:left w:val="single" w:sz="4" w:space="0" w:color="C2DF89" w:themeColor="accent4" w:themeTint="99"/>
        <w:bottom w:val="single" w:sz="4" w:space="0" w:color="C2DF89" w:themeColor="accent4" w:themeTint="99"/>
        <w:right w:val="single" w:sz="4" w:space="0" w:color="C2DF89" w:themeColor="accent4" w:themeTint="99"/>
        <w:insideH w:val="single" w:sz="4" w:space="0" w:color="C2DF89" w:themeColor="accent4" w:themeTint="99"/>
        <w:insideV w:val="single" w:sz="4" w:space="0" w:color="C2DF89" w:themeColor="accent4" w:themeTint="99"/>
      </w:tblBorders>
    </w:tblPr>
    <w:tblStylePr w:type="firstRow">
      <w:rPr>
        <w:b/>
        <w:bCs/>
        <w:color w:val="FFFFFF" w:themeColor="background1"/>
      </w:rPr>
      <w:tblPr/>
      <w:tcPr>
        <w:tcBorders>
          <w:top w:val="single" w:sz="4" w:space="0" w:color="9ACA3C" w:themeColor="accent4"/>
          <w:left w:val="single" w:sz="4" w:space="0" w:color="9ACA3C" w:themeColor="accent4"/>
          <w:bottom w:val="single" w:sz="4" w:space="0" w:color="9ACA3C" w:themeColor="accent4"/>
          <w:right w:val="single" w:sz="4" w:space="0" w:color="9ACA3C" w:themeColor="accent4"/>
          <w:insideH w:val="nil"/>
          <w:insideV w:val="nil"/>
        </w:tcBorders>
        <w:shd w:val="clear" w:color="auto" w:fill="9ACA3C" w:themeFill="accent4"/>
      </w:tcPr>
    </w:tblStylePr>
    <w:tblStylePr w:type="lastRow">
      <w:rPr>
        <w:b/>
        <w:bCs/>
      </w:rPr>
      <w:tblPr/>
      <w:tcPr>
        <w:tcBorders>
          <w:top w:val="double" w:sz="4" w:space="0" w:color="9ACA3C" w:themeColor="accent4"/>
        </w:tcBorders>
      </w:tcPr>
    </w:tblStylePr>
    <w:tblStylePr w:type="firstCol">
      <w:rPr>
        <w:b/>
        <w:bCs/>
      </w:rPr>
    </w:tblStylePr>
    <w:tblStylePr w:type="lastCol">
      <w:rPr>
        <w:b/>
        <w:bCs/>
      </w:rPr>
    </w:tblStylePr>
    <w:tblStylePr w:type="band1Vert">
      <w:tblPr/>
      <w:tcPr>
        <w:shd w:val="clear" w:color="auto" w:fill="EAF4D7" w:themeFill="accent4" w:themeFillTint="33"/>
      </w:tcPr>
    </w:tblStylePr>
    <w:tblStylePr w:type="band1Horz">
      <w:tblPr/>
      <w:tcPr>
        <w:shd w:val="clear" w:color="auto" w:fill="EAF4D7" w:themeFill="accent4" w:themeFillTint="33"/>
      </w:tcPr>
    </w:tblStylePr>
  </w:style>
  <w:style w:type="paragraph" w:customStyle="1" w:styleId="TableParagraph">
    <w:name w:val="Table Paragraph"/>
    <w:uiPriority w:val="1"/>
    <w:qFormat/>
    <w:rsid w:val="00A84BA7"/>
    <w:pPr>
      <w:widowControl w:val="0"/>
      <w:autoSpaceDE w:val="0"/>
      <w:autoSpaceDN w:val="0"/>
    </w:pPr>
    <w:rPr>
      <w:rFonts w:ascii="Arial" w:eastAsia="Arial" w:hAnsi="Arial" w:cs="Arial"/>
      <w:sz w:val="22"/>
      <w:szCs w:val="22"/>
    </w:rPr>
  </w:style>
  <w:style w:type="character" w:customStyle="1" w:styleId="Feloldatlanmegemlts2">
    <w:name w:val="Feloldatlan megemlítés2"/>
    <w:basedOn w:val="Privzetapisavaodstavka"/>
    <w:uiPriority w:val="99"/>
    <w:semiHidden/>
    <w:unhideWhenUsed/>
    <w:rsid w:val="00A92A47"/>
    <w:rPr>
      <w:color w:val="605E5C"/>
      <w:shd w:val="clear" w:color="auto" w:fill="E1DFDD"/>
    </w:rPr>
  </w:style>
  <w:style w:type="table" w:customStyle="1" w:styleId="TableNormal1">
    <w:name w:val="Table Normal1"/>
    <w:uiPriority w:val="2"/>
    <w:semiHidden/>
    <w:unhideWhenUsed/>
    <w:qFormat/>
    <w:rsid w:val="005F6D4D"/>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styleId="Krepko">
    <w:name w:val="Strong"/>
    <w:basedOn w:val="Privzetapisavaodstavka"/>
    <w:uiPriority w:val="22"/>
    <w:qFormat/>
    <w:rsid w:val="005A12E7"/>
    <w:rPr>
      <w:b/>
      <w:bCs/>
    </w:rPr>
  </w:style>
  <w:style w:type="paragraph" w:styleId="Kazaloslik">
    <w:name w:val="table of figures"/>
    <w:uiPriority w:val="99"/>
    <w:unhideWhenUsed/>
    <w:rsid w:val="00A94B4D"/>
    <w:pPr>
      <w:ind w:left="400" w:hanging="400"/>
    </w:pPr>
    <w:rPr>
      <w:rFonts w:asciiTheme="minorHAnsi" w:hAnsiTheme="minorHAnsi"/>
      <w:smallCaps/>
    </w:rPr>
  </w:style>
  <w:style w:type="character" w:styleId="Poudarek">
    <w:name w:val="Emphasis"/>
    <w:basedOn w:val="Privzetapisavaodstavka"/>
    <w:uiPriority w:val="20"/>
    <w:qFormat/>
    <w:rsid w:val="00BE16BB"/>
    <w:rPr>
      <w:i/>
      <w:iCs/>
    </w:rPr>
  </w:style>
  <w:style w:type="character" w:customStyle="1" w:styleId="relative">
    <w:name w:val="relative"/>
    <w:basedOn w:val="Privzetapisavaodstavka"/>
    <w:rsid w:val="005730AE"/>
  </w:style>
  <w:style w:type="character" w:customStyle="1" w:styleId="ms-1">
    <w:name w:val="ms-1"/>
    <w:basedOn w:val="Privzetapisavaodstavka"/>
    <w:rsid w:val="005730AE"/>
  </w:style>
  <w:style w:type="character" w:customStyle="1" w:styleId="max-w-full">
    <w:name w:val="max-w-full"/>
    <w:basedOn w:val="Privzetapisavaodstavka"/>
    <w:rsid w:val="005730AE"/>
  </w:style>
  <w:style w:type="table" w:customStyle="1" w:styleId="a">
    <w:basedOn w:val="Navadnatabela"/>
    <w:rsid w:val="005625C6"/>
    <w:tblPr>
      <w:tblStyleRowBandSize w:val="1"/>
      <w:tblStyleColBandSize w:val="1"/>
      <w:tblCellMar>
        <w:left w:w="115" w:type="dxa"/>
        <w:right w:w="115" w:type="dxa"/>
      </w:tblCellMar>
    </w:tblPr>
  </w:style>
  <w:style w:type="table" w:customStyle="1" w:styleId="a0">
    <w:basedOn w:val="Navadnatabela"/>
    <w:rsid w:val="005625C6"/>
    <w:pPr>
      <w:widowControl w:val="0"/>
    </w:pPr>
    <w:rPr>
      <w:rFonts w:ascii="Trebuchet MS" w:eastAsia="Trebuchet MS" w:hAnsi="Trebuchet MS" w:cs="Trebuchet MS"/>
      <w:sz w:val="22"/>
      <w:szCs w:val="22"/>
    </w:rPr>
    <w:tblPr>
      <w:tblStyleRowBandSize w:val="1"/>
      <w:tblStyleColBandSize w:val="1"/>
      <w:tblCellMar>
        <w:left w:w="0" w:type="dxa"/>
        <w:right w:w="0" w:type="dxa"/>
      </w:tblCellMar>
    </w:tblPr>
  </w:style>
  <w:style w:type="table" w:customStyle="1" w:styleId="a2">
    <w:basedOn w:val="Navadnatabela"/>
    <w:rsid w:val="005625C6"/>
    <w:tblPr>
      <w:tblStyleRowBandSize w:val="1"/>
      <w:tblStyleColBandSize w:val="1"/>
      <w:tblCellMar>
        <w:left w:w="115" w:type="dxa"/>
        <w:right w:w="115" w:type="dxa"/>
      </w:tblCellMar>
    </w:tblPr>
  </w:style>
  <w:style w:type="table" w:customStyle="1" w:styleId="a3">
    <w:basedOn w:val="Navadnatabela"/>
    <w:rsid w:val="005625C6"/>
    <w:tblPr>
      <w:tblStyleRowBandSize w:val="1"/>
      <w:tblStyleColBandSize w:val="1"/>
    </w:tblPr>
    <w:tblStylePr w:type="firstRow">
      <w:rPr>
        <w:b/>
        <w:color w:val="FFFFFF"/>
      </w:rPr>
      <w:tblPr/>
      <w:tcPr>
        <w:tcBorders>
          <w:top w:val="single" w:sz="4" w:space="0" w:color="9ACA3C"/>
          <w:left w:val="single" w:sz="4" w:space="0" w:color="9ACA3C"/>
          <w:bottom w:val="single" w:sz="4" w:space="0" w:color="9ACA3C"/>
          <w:right w:val="single" w:sz="4" w:space="0" w:color="9ACA3C"/>
          <w:insideH w:val="nil"/>
          <w:insideV w:val="nil"/>
        </w:tcBorders>
        <w:shd w:val="clear" w:color="auto" w:fill="9ACA3C"/>
      </w:tcPr>
    </w:tblStylePr>
    <w:tblStylePr w:type="lastRow">
      <w:rPr>
        <w:b/>
      </w:rPr>
      <w:tblPr/>
      <w:tcPr>
        <w:tcBorders>
          <w:top w:val="single" w:sz="4" w:space="0" w:color="9ACA3C"/>
        </w:tcBorders>
      </w:tcPr>
    </w:tblStylePr>
    <w:tblStylePr w:type="firstCol">
      <w:rPr>
        <w:b/>
      </w:rPr>
    </w:tblStylePr>
    <w:tblStylePr w:type="lastCol">
      <w:rPr>
        <w:b/>
      </w:rPr>
    </w:tblStylePr>
    <w:tblStylePr w:type="band1Vert">
      <w:tblPr/>
      <w:tcPr>
        <w:shd w:val="clear" w:color="auto" w:fill="EAF4D7"/>
      </w:tcPr>
    </w:tblStylePr>
    <w:tblStylePr w:type="band1Horz">
      <w:tblPr/>
      <w:tcPr>
        <w:shd w:val="clear" w:color="auto" w:fill="EAF4D7"/>
      </w:tcPr>
    </w:tblStylePr>
  </w:style>
  <w:style w:type="table" w:customStyle="1" w:styleId="a4">
    <w:basedOn w:val="Navadnatabela"/>
    <w:rsid w:val="005625C6"/>
    <w:rPr>
      <w:rFonts w:ascii="Trebuchet MS" w:eastAsia="Trebuchet MS" w:hAnsi="Trebuchet MS" w:cs="Trebuchet MS"/>
    </w:rPr>
    <w:tblPr>
      <w:tblStyleRowBandSize w:val="1"/>
      <w:tblStyleColBandSize w:val="1"/>
      <w:tblCellMar>
        <w:top w:w="57" w:type="dxa"/>
        <w:left w:w="115" w:type="dxa"/>
        <w:bottom w:w="57" w:type="dxa"/>
        <w:right w:w="115" w:type="dxa"/>
      </w:tblCellMar>
    </w:tblPr>
    <w:tcPr>
      <w:shd w:val="clear" w:color="auto" w:fill="E2E7E9"/>
      <w:vAlign w:val="center"/>
    </w:tcPr>
    <w:tblStylePr w:type="firstRow">
      <w:pPr>
        <w:jc w:val="left"/>
      </w:pPr>
    </w:tblStylePr>
    <w:tblStylePr w:type="firstCol">
      <w:tblPr/>
      <w:tcPr>
        <w:shd w:val="clear" w:color="auto" w:fill="FFFFFF"/>
      </w:tcPr>
    </w:tblStylePr>
  </w:style>
  <w:style w:type="table" w:customStyle="1" w:styleId="a5">
    <w:basedOn w:val="Navadnatabela"/>
    <w:rsid w:val="005625C6"/>
    <w:tblPr>
      <w:tblStyleRowBandSize w:val="1"/>
      <w:tblStyleColBandSize w:val="1"/>
      <w:tblCellMar>
        <w:left w:w="70" w:type="dxa"/>
        <w:right w:w="70" w:type="dxa"/>
      </w:tblCellMar>
    </w:tblPr>
  </w:style>
  <w:style w:type="table" w:customStyle="1" w:styleId="a6">
    <w:basedOn w:val="Navadnatabela"/>
    <w:rsid w:val="005625C6"/>
    <w:rPr>
      <w:rFonts w:ascii="Trebuchet MS" w:eastAsia="Trebuchet MS" w:hAnsi="Trebuchet MS" w:cs="Trebuchet MS"/>
    </w:rPr>
    <w:tblPr>
      <w:tblStyleRowBandSize w:val="1"/>
      <w:tblStyleColBandSize w:val="1"/>
      <w:tblCellMar>
        <w:top w:w="57" w:type="dxa"/>
        <w:left w:w="115" w:type="dxa"/>
        <w:bottom w:w="57" w:type="dxa"/>
        <w:right w:w="115" w:type="dxa"/>
      </w:tblCellMar>
    </w:tblPr>
    <w:tcPr>
      <w:shd w:val="clear" w:color="auto" w:fill="E2E7E9"/>
      <w:vAlign w:val="center"/>
    </w:tcPr>
    <w:tblStylePr w:type="firstRow">
      <w:pPr>
        <w:jc w:val="left"/>
      </w:pPr>
    </w:tblStylePr>
    <w:tblStylePr w:type="firstCol">
      <w:tblPr/>
      <w:tcPr>
        <w:shd w:val="clear" w:color="auto" w:fill="FFFFFF"/>
      </w:tcPr>
    </w:tblStylePr>
  </w:style>
  <w:style w:type="table" w:customStyle="1" w:styleId="a7">
    <w:basedOn w:val="Navadnatabela"/>
    <w:rsid w:val="005625C6"/>
    <w:tblPr>
      <w:tblStyleRowBandSize w:val="1"/>
      <w:tblStyleColBandSize w:val="1"/>
      <w:tblCellMar>
        <w:left w:w="115" w:type="dxa"/>
        <w:right w:w="115" w:type="dxa"/>
      </w:tblCellMar>
    </w:tblPr>
  </w:style>
  <w:style w:type="table" w:customStyle="1" w:styleId="GridTable5Dark-Accent51">
    <w:name w:val="Grid Table 5 Dark - Accent 51"/>
    <w:basedOn w:val="Navadnatabela"/>
    <w:uiPriority w:val="50"/>
    <w:rsid w:val="008B0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8A42" w:themeFill="accent5"/>
      </w:tcPr>
    </w:tblStylePr>
    <w:tblStylePr w:type="band1Vert">
      <w:tblPr/>
      <w:tcPr>
        <w:shd w:val="clear" w:color="auto" w:fill="FBD0B3" w:themeFill="accent5" w:themeFillTint="66"/>
      </w:tcPr>
    </w:tblStylePr>
    <w:tblStylePr w:type="band1Horz">
      <w:tblPr/>
      <w:tcPr>
        <w:shd w:val="clear" w:color="auto" w:fill="FBD0B3" w:themeFill="accent5" w:themeFillTint="66"/>
      </w:tcPr>
    </w:tblStylePr>
  </w:style>
  <w:style w:type="table" w:customStyle="1" w:styleId="GridTable5Dark-Accent41">
    <w:name w:val="Grid Table 5 Dark - Accent 41"/>
    <w:basedOn w:val="Navadnatabela"/>
    <w:uiPriority w:val="50"/>
    <w:rsid w:val="00B831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A3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A3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A3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A3C" w:themeFill="accent4"/>
      </w:tcPr>
    </w:tblStylePr>
    <w:tblStylePr w:type="band1Vert">
      <w:tblPr/>
      <w:tcPr>
        <w:shd w:val="clear" w:color="auto" w:fill="D6E9B0" w:themeFill="accent4" w:themeFillTint="66"/>
      </w:tcPr>
    </w:tblStylePr>
    <w:tblStylePr w:type="band1Horz">
      <w:tblPr/>
      <w:tcPr>
        <w:shd w:val="clear" w:color="auto" w:fill="D6E9B0" w:themeFill="accent4" w:themeFillTint="66"/>
      </w:tcPr>
    </w:tblStylePr>
  </w:style>
  <w:style w:type="table" w:customStyle="1" w:styleId="ListTable1Light-Accent41">
    <w:name w:val="List Table 1 Light - Accent 41"/>
    <w:basedOn w:val="Navadnatabela"/>
    <w:uiPriority w:val="46"/>
    <w:rsid w:val="00520933"/>
    <w:tblPr>
      <w:tblStyleRowBandSize w:val="1"/>
      <w:tblStyleColBandSize w:val="1"/>
    </w:tblPr>
    <w:tblStylePr w:type="firstRow">
      <w:rPr>
        <w:b/>
        <w:bCs/>
      </w:rPr>
      <w:tblPr/>
      <w:tcPr>
        <w:tcBorders>
          <w:bottom w:val="single" w:sz="4" w:space="0" w:color="C2DF89" w:themeColor="accent4" w:themeTint="99"/>
        </w:tcBorders>
      </w:tcPr>
    </w:tblStylePr>
    <w:tblStylePr w:type="lastRow">
      <w:rPr>
        <w:b/>
        <w:bCs/>
      </w:rPr>
      <w:tblPr/>
      <w:tcPr>
        <w:tcBorders>
          <w:top w:val="single" w:sz="4" w:space="0" w:color="C2DF89" w:themeColor="accent4" w:themeTint="99"/>
        </w:tcBorders>
      </w:tcPr>
    </w:tblStylePr>
    <w:tblStylePr w:type="firstCol">
      <w:rPr>
        <w:b/>
        <w:bCs/>
      </w:rPr>
    </w:tblStylePr>
    <w:tblStylePr w:type="lastCol">
      <w:rPr>
        <w:b/>
        <w:bCs/>
      </w:rPr>
    </w:tblStylePr>
    <w:tblStylePr w:type="band1Vert">
      <w:tblPr/>
      <w:tcPr>
        <w:shd w:val="clear" w:color="auto" w:fill="EAF4D7" w:themeFill="accent4" w:themeFillTint="33"/>
      </w:tcPr>
    </w:tblStylePr>
    <w:tblStylePr w:type="band1Horz">
      <w:tblPr/>
      <w:tcPr>
        <w:shd w:val="clear" w:color="auto" w:fill="EAF4D7" w:themeFill="accent4" w:themeFillTint="33"/>
      </w:tcPr>
    </w:tblStylePr>
  </w:style>
  <w:style w:type="paragraph" w:customStyle="1" w:styleId="Headline2JK">
    <w:name w:val="Headline 2 JK"/>
    <w:link w:val="Headline2JKChar"/>
    <w:qFormat/>
    <w:rsid w:val="00480726"/>
    <w:pPr>
      <w:keepNext/>
      <w:numPr>
        <w:ilvl w:val="1"/>
        <w:numId w:val="13"/>
      </w:numPr>
      <w:pBdr>
        <w:top w:val="nil"/>
        <w:left w:val="nil"/>
        <w:bottom w:val="nil"/>
        <w:right w:val="nil"/>
        <w:between w:val="nil"/>
      </w:pBdr>
      <w:spacing w:before="360" w:after="240"/>
      <w:ind w:right="522"/>
    </w:pPr>
    <w:rPr>
      <w:rFonts w:ascii="Trebuchet MS" w:eastAsia="Trebuchet MS" w:hAnsi="Trebuchet MS" w:cs="Trebuchet MS"/>
      <w:b/>
      <w:color w:val="90ABB1"/>
      <w:sz w:val="28"/>
      <w:szCs w:val="28"/>
    </w:rPr>
  </w:style>
  <w:style w:type="character" w:customStyle="1" w:styleId="Headline2JKChar">
    <w:name w:val="Headline 2 JK Char"/>
    <w:basedOn w:val="Privzetapisavaodstavka"/>
    <w:link w:val="Headline2JK"/>
    <w:rsid w:val="00480726"/>
    <w:rPr>
      <w:rFonts w:ascii="Trebuchet MS" w:eastAsia="Trebuchet MS" w:hAnsi="Trebuchet MS" w:cs="Trebuchet MS"/>
      <w:b/>
      <w:color w:val="90ABB1"/>
      <w:sz w:val="28"/>
      <w:szCs w:val="28"/>
      <w:lang w:val="en-US"/>
    </w:rPr>
  </w:style>
  <w:style w:type="character" w:customStyle="1" w:styleId="Feloldatlanmegemlts3">
    <w:name w:val="Feloldatlan megemlítés3"/>
    <w:basedOn w:val="Privzetapisavaodstavka"/>
    <w:uiPriority w:val="99"/>
    <w:semiHidden/>
    <w:unhideWhenUsed/>
    <w:rsid w:val="00BC6A4A"/>
    <w:rPr>
      <w:color w:val="605E5C"/>
      <w:shd w:val="clear" w:color="auto" w:fill="E1DFDD"/>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tcPr>
      <w:shd w:val="clear" w:color="auto" w:fill="EAF4D7"/>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ACA3C"/>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ACA3C"/>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ACA3C"/>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ACA3C"/>
      </w:tcPr>
    </w:tblStylePr>
    <w:tblStylePr w:type="band1Vert">
      <w:tblPr/>
      <w:tcPr>
        <w:shd w:val="clear" w:color="auto" w:fill="D6E9B1"/>
      </w:tcPr>
    </w:tblStylePr>
    <w:tblStylePr w:type="band1Horz">
      <w:tblPr/>
      <w:tcPr>
        <w:shd w:val="clear" w:color="auto" w:fill="D6E9B1"/>
      </w:tcPr>
    </w:tblStylePr>
  </w:style>
  <w:style w:type="table" w:customStyle="1" w:styleId="aa">
    <w:basedOn w:val="TableNormal"/>
    <w:tblPr>
      <w:tblStyleRowBandSize w:val="1"/>
      <w:tblStyleColBandSize w:val="1"/>
      <w:tblCellMar>
        <w:top w:w="0" w:type="dxa"/>
        <w:left w:w="115" w:type="dxa"/>
        <w:bottom w:w="0" w:type="dxa"/>
        <w:right w:w="115" w:type="dxa"/>
      </w:tblCellMar>
    </w:tblPr>
    <w:tcPr>
      <w:shd w:val="clear" w:color="auto" w:fill="EAF4D7"/>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ACA3C"/>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ACA3C"/>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ACA3C"/>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ACA3C"/>
      </w:tcPr>
    </w:tblStylePr>
    <w:tblStylePr w:type="band1Vert">
      <w:tblPr/>
      <w:tcPr>
        <w:shd w:val="clear" w:color="auto" w:fill="D6E9B1"/>
      </w:tcPr>
    </w:tblStylePr>
    <w:tblStylePr w:type="band1Horz">
      <w:tblPr/>
      <w:tcPr>
        <w:shd w:val="clear" w:color="auto" w:fill="D6E9B1"/>
      </w:tcPr>
    </w:tblStylePr>
  </w:style>
  <w:style w:type="table" w:customStyle="1" w:styleId="ab">
    <w:basedOn w:val="TableNormal"/>
    <w:tblPr>
      <w:tblStyleRowBandSize w:val="1"/>
      <w:tblStyleColBandSize w:val="1"/>
      <w:tblCellMar>
        <w:top w:w="0" w:type="dxa"/>
        <w:left w:w="115" w:type="dxa"/>
        <w:bottom w:w="0" w:type="dxa"/>
        <w:right w:w="115" w:type="dxa"/>
      </w:tblCellMar>
    </w:tblPr>
    <w:tcPr>
      <w:shd w:val="clear" w:color="auto" w:fill="E8EEEF"/>
    </w:tcPr>
    <w:tblStylePr w:type="firstRow">
      <w:rPr>
        <w:b/>
        <w:color w:val="FFFFFF"/>
        <w:u w:val="none"/>
      </w:rPr>
      <w:tblPr/>
      <w:tcPr>
        <w:tcBorders>
          <w:top w:val="single" w:sz="4" w:space="0" w:color="FFFFFF"/>
          <w:left w:val="single" w:sz="4" w:space="0" w:color="FFFFFF"/>
          <w:right w:val="single" w:sz="4" w:space="0" w:color="FFFFFF"/>
          <w:insideH w:val="nil"/>
          <w:insideV w:val="nil"/>
        </w:tcBorders>
        <w:shd w:val="clear" w:color="auto" w:fill="90ABB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0ABB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0ABB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0ABB1"/>
      </w:tcPr>
    </w:tblStylePr>
    <w:tblStylePr w:type="band1Vert">
      <w:tblPr/>
      <w:tcPr>
        <w:shd w:val="clear" w:color="auto" w:fill="D2DDDF"/>
      </w:tcPr>
    </w:tblStylePr>
    <w:tblStylePr w:type="band1Horz">
      <w:tblPr/>
      <w:tcPr>
        <w:shd w:val="clear" w:color="auto" w:fill="D2DDDF"/>
      </w:tcPr>
    </w:tblStylePr>
  </w:style>
  <w:style w:type="table" w:customStyle="1" w:styleId="ac">
    <w:basedOn w:val="TableNormal"/>
    <w:tblPr>
      <w:tblStyleRowBandSize w:val="1"/>
      <w:tblStyleColBandSize w:val="1"/>
      <w:tblCellMar>
        <w:top w:w="0" w:type="dxa"/>
        <w:left w:w="115" w:type="dxa"/>
        <w:bottom w:w="0" w:type="dxa"/>
        <w:right w:w="115" w:type="dxa"/>
      </w:tblCellMar>
    </w:tblPr>
    <w:tcPr>
      <w:shd w:val="clear" w:color="auto" w:fill="E8EEEF"/>
    </w:tcPr>
    <w:tblStylePr w:type="firstRow">
      <w:rPr>
        <w:b/>
        <w:color w:val="FFFFFF"/>
        <w:u w:val="none"/>
      </w:rPr>
      <w:tblPr/>
      <w:tcPr>
        <w:tcBorders>
          <w:top w:val="single" w:sz="4" w:space="0" w:color="FFFFFF"/>
          <w:left w:val="single" w:sz="4" w:space="0" w:color="FFFFFF"/>
          <w:right w:val="single" w:sz="4" w:space="0" w:color="FFFFFF"/>
          <w:insideH w:val="nil"/>
          <w:insideV w:val="nil"/>
        </w:tcBorders>
        <w:shd w:val="clear" w:color="auto" w:fill="90ABB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0ABB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0ABB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0ABB1"/>
      </w:tcPr>
    </w:tblStylePr>
    <w:tblStylePr w:type="band1Vert">
      <w:tblPr/>
      <w:tcPr>
        <w:shd w:val="clear" w:color="auto" w:fill="D2DDDF"/>
      </w:tcPr>
    </w:tblStylePr>
    <w:tblStylePr w:type="band1Horz">
      <w:tblPr/>
      <w:tcPr>
        <w:shd w:val="clear" w:color="auto" w:fill="D2DDDF"/>
      </w:tcPr>
    </w:tblStylePr>
  </w:style>
  <w:style w:type="table" w:customStyle="1" w:styleId="ad">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C2DF89"/>
        </w:tcBorders>
      </w:tcPr>
    </w:tblStylePr>
    <w:tblStylePr w:type="lastRow">
      <w:rPr>
        <w:b/>
      </w:rPr>
      <w:tblPr/>
      <w:tcPr>
        <w:tcBorders>
          <w:top w:val="single" w:sz="4" w:space="0" w:color="C2DF89"/>
        </w:tcBorders>
      </w:tcPr>
    </w:tblStylePr>
    <w:tblStylePr w:type="firstCol">
      <w:rPr>
        <w:b/>
      </w:rPr>
    </w:tblStylePr>
    <w:tblStylePr w:type="lastCol">
      <w:rPr>
        <w:b/>
      </w:rPr>
    </w:tblStylePr>
    <w:tblStylePr w:type="band1Vert">
      <w:tblPr/>
      <w:tcPr>
        <w:shd w:val="clear" w:color="auto" w:fill="EAF4D7"/>
      </w:tcPr>
    </w:tblStylePr>
    <w:tblStylePr w:type="band1Horz">
      <w:tblPr/>
      <w:tcPr>
        <w:shd w:val="clear" w:color="auto" w:fill="EAF4D7"/>
      </w:tcPr>
    </w:tblStyle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rPr>
      <w:rFonts w:ascii="Trebuchet MS" w:eastAsia="Trebuchet MS" w:hAnsi="Trebuchet MS" w:cs="Trebuchet MS"/>
    </w:rPr>
    <w:tblPr>
      <w:tblStyleRowBandSize w:val="1"/>
      <w:tblStyleColBandSize w:val="1"/>
      <w:tblCellMar>
        <w:top w:w="0" w:type="dxa"/>
        <w:left w:w="115" w:type="dxa"/>
        <w:bottom w:w="0" w:type="dxa"/>
        <w:right w:w="115" w:type="dxa"/>
      </w:tblCellMar>
    </w:tblPr>
    <w:tcPr>
      <w:shd w:val="clear" w:color="auto" w:fill="E2E7E9"/>
      <w:vAlign w:val="center"/>
    </w:tcPr>
    <w:tblStylePr w:type="firstRow">
      <w:pPr>
        <w:jc w:val="left"/>
      </w:pPr>
    </w:tblStylePr>
    <w:tblStylePr w:type="firstCol">
      <w:tblPr/>
      <w:tcPr>
        <w:shd w:val="clear" w:color="auto" w:fill="FFFFFF"/>
      </w:tcPr>
    </w:tblStylePr>
  </w:style>
  <w:style w:type="table" w:customStyle="1" w:styleId="af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rivcevic@bjelasica-komovi.co.m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034iWJyi2A6V59PAw33YpeNxLQ==">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12061</Words>
  <Characters>68748</Characters>
  <Application>Microsoft Office Word</Application>
  <DocSecurity>0</DocSecurity>
  <Lines>572</Lines>
  <Paragraphs>161</Paragraphs>
  <ScaleCrop>false</ScaleCrop>
  <Company/>
  <LinksUpToDate>false</LinksUpToDate>
  <CharactersWithSpaces>80648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Csányi Bendegúz Benedek</dc:creator>
  <cp:lastModifiedBy>Darja Radić</cp:lastModifiedBy>
  <cp:revision>2</cp:revision>
  <dcterms:created xsi:type="dcterms:W3CDTF">2025-11-20T20:33:00Z</dcterms:created>
  <dcterms:modified xsi:type="dcterms:W3CDTF">2025-11-20T20:33:00Z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0x0101001FF90222DA6448468561DDB7B83BE7E8</vt:lpwstr>
  </property>
  <property fmtid="{D5CDD505-2E9C-101B-9397-08002B2CF9AE}" pid="4" name="_NewReviewCycle">
    <vt:lpwstr/>
  </property>
</Properties>
</file>