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37716" w14:textId="326383BC" w:rsidR="00230D8A" w:rsidRPr="00230D8A" w:rsidRDefault="00595F7F" w:rsidP="00230D8A">
      <w:pPr>
        <w:pStyle w:val="Nadpis1"/>
      </w:pPr>
      <w:bookmarkStart w:id="0" w:name="_Toc201072664"/>
      <w:bookmarkStart w:id="1" w:name="_Toc201072748"/>
      <w:bookmarkStart w:id="2" w:name="_Toc201073720"/>
      <w:bookmarkStart w:id="3" w:name="_Toc201073876"/>
      <w:r w:rsidRPr="00EE4561">
        <w:rPr>
          <w:noProof/>
          <w:color w:val="156082" w:themeColor="accent1"/>
          <w:sz w:val="20"/>
          <w:szCs w:val="20"/>
        </w:rPr>
        <mc:AlternateContent>
          <mc:Choice Requires="wps">
            <w:drawing>
              <wp:anchor distT="45720" distB="45720" distL="114300" distR="114300" simplePos="0" relativeHeight="251660288" behindDoc="0" locked="0" layoutInCell="1" allowOverlap="1" wp14:anchorId="10C7DB9A" wp14:editId="6404D36C">
                <wp:simplePos x="0" y="0"/>
                <wp:positionH relativeFrom="margin">
                  <wp:posOffset>-2540</wp:posOffset>
                </wp:positionH>
                <wp:positionV relativeFrom="paragraph">
                  <wp:posOffset>2806065</wp:posOffset>
                </wp:positionV>
                <wp:extent cx="5366385" cy="2466975"/>
                <wp:effectExtent l="0" t="0" r="0" b="0"/>
                <wp:wrapSquare wrapText="bothSides"/>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6385" cy="2466975"/>
                        </a:xfrm>
                        <a:prstGeom prst="rect">
                          <a:avLst/>
                        </a:prstGeom>
                        <a:noFill/>
                        <a:ln w="9525">
                          <a:noFill/>
                          <a:miter lim="800000"/>
                          <a:headEnd/>
                          <a:tailEnd/>
                        </a:ln>
                      </wps:spPr>
                      <wps:txbx>
                        <w:txbxContent>
                          <w:p w14:paraId="74FDB056" w14:textId="108F5C0B" w:rsidR="001E06D5" w:rsidRPr="001E06D5" w:rsidRDefault="00595F7F" w:rsidP="001E06D5">
                            <w:pPr>
                              <w:pStyle w:val="Title1"/>
                              <w:spacing w:line="240" w:lineRule="auto"/>
                              <w:rPr>
                                <w:sz w:val="56"/>
                                <w:szCs w:val="56"/>
                              </w:rPr>
                            </w:pPr>
                            <w:r w:rsidRPr="00595F7F">
                              <w:rPr>
                                <w:sz w:val="56"/>
                                <w:szCs w:val="56"/>
                              </w:rPr>
                              <w:t xml:space="preserve">Annex </w:t>
                            </w:r>
                            <w:r w:rsidR="00C85533">
                              <w:rPr>
                                <w:sz w:val="56"/>
                                <w:szCs w:val="56"/>
                              </w:rPr>
                              <w:t>1</w:t>
                            </w:r>
                            <w:r w:rsidRPr="00595F7F">
                              <w:rPr>
                                <w:sz w:val="56"/>
                                <w:szCs w:val="56"/>
                              </w:rPr>
                              <w:t xml:space="preserve"> / C</w:t>
                            </w:r>
                            <w:r w:rsidR="00C85533">
                              <w:rPr>
                                <w:sz w:val="56"/>
                                <w:szCs w:val="56"/>
                              </w:rPr>
                              <w:t>2</w:t>
                            </w:r>
                            <w:r w:rsidRPr="00595F7F">
                              <w:rPr>
                                <w:sz w:val="56"/>
                                <w:szCs w:val="56"/>
                              </w:rPr>
                              <w:t xml:space="preserve"> </w:t>
                            </w:r>
                            <w:r w:rsidR="00230D8A" w:rsidRPr="00230D8A">
                              <w:rPr>
                                <w:sz w:val="56"/>
                                <w:szCs w:val="56"/>
                              </w:rPr>
                              <w:t xml:space="preserve">Output </w:t>
                            </w:r>
                            <w:r w:rsidR="00C85533">
                              <w:rPr>
                                <w:sz w:val="56"/>
                                <w:szCs w:val="56"/>
                              </w:rPr>
                              <w:t>Factsheet</w:t>
                            </w:r>
                          </w:p>
                        </w:txbxContent>
                      </wps:txbx>
                      <wps:bodyPr rot="0" vert="horz" wrap="square" lIns="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0C7DB9A" id="_x0000_t202" coordsize="21600,21600" o:spt="202" path="m,l,21600r21600,l21600,xe">
                <v:stroke joinstyle="miter"/>
                <v:path gradientshapeok="t" o:connecttype="rect"/>
              </v:shapetype>
              <v:shape id="Szövegdoboz 2" o:spid="_x0000_s1026" type="#_x0000_t202" style="position:absolute;margin-left:-.2pt;margin-top:220.95pt;width:422.55pt;height:194.25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" filled="f" stroked="f">
                <v:textbox inset="0">
                  <w:txbxContent>
                    <w:p w14:paraId="74FDB056" w14:textId="108F5C0B" w:rsidR="001E06D5" w:rsidRPr="001E06D5" w:rsidRDefault="00595F7F" w:rsidP="001E06D5">
                      <w:pPr>
                        <w:pStyle w:val="Title1"/>
                        <w:spacing w:line="240" w:lineRule="auto"/>
                        <w:rPr>
                          <w:sz w:val="56"/>
                          <w:szCs w:val="56"/>
                        </w:rPr>
                      </w:pPr>
                      <w:r w:rsidRPr="00595F7F">
                        <w:rPr>
                          <w:sz w:val="56"/>
                          <w:szCs w:val="56"/>
                        </w:rPr>
                        <w:t xml:space="preserve">Annex </w:t>
                      </w:r>
                      <w:r w:rsidR="00C85533">
                        <w:rPr>
                          <w:sz w:val="56"/>
                          <w:szCs w:val="56"/>
                        </w:rPr>
                        <w:t>1</w:t>
                      </w:r>
                      <w:r w:rsidRPr="00595F7F">
                        <w:rPr>
                          <w:sz w:val="56"/>
                          <w:szCs w:val="56"/>
                        </w:rPr>
                        <w:t xml:space="preserve"> / C</w:t>
                      </w:r>
                      <w:r w:rsidR="00C85533">
                        <w:rPr>
                          <w:sz w:val="56"/>
                          <w:szCs w:val="56"/>
                        </w:rPr>
                        <w:t>2</w:t>
                      </w:r>
                      <w:r w:rsidRPr="00595F7F">
                        <w:rPr>
                          <w:sz w:val="56"/>
                          <w:szCs w:val="56"/>
                        </w:rPr>
                        <w:t xml:space="preserve"> </w:t>
                      </w:r>
                      <w:r w:rsidR="00230D8A" w:rsidRPr="00230D8A">
                        <w:rPr>
                          <w:sz w:val="56"/>
                          <w:szCs w:val="56"/>
                        </w:rPr>
                        <w:t xml:space="preserve">Output </w:t>
                      </w:r>
                      <w:r w:rsidR="00C85533">
                        <w:rPr>
                          <w:sz w:val="56"/>
                          <w:szCs w:val="56"/>
                        </w:rPr>
                        <w:t>Factsheet</w:t>
                      </w:r>
                    </w:p>
                  </w:txbxContent>
                </v:textbox>
                <w10:wrap type="square" anchorx="margin"/>
              </v:shape>
            </w:pict>
          </mc:Fallback>
        </mc:AlternateContent>
      </w:r>
      <w:r w:rsidR="00230D8A" w:rsidRPr="00EE4561">
        <w:rPr>
          <w:noProof/>
          <w:color w:val="156082" w:themeColor="accent1"/>
          <w:sz w:val="20"/>
          <w:szCs w:val="20"/>
        </w:rPr>
        <mc:AlternateContent>
          <mc:Choice Requires="wps">
            <w:drawing>
              <wp:anchor distT="45720" distB="45720" distL="114300" distR="114300" simplePos="0" relativeHeight="251661312" behindDoc="0" locked="0" layoutInCell="1" allowOverlap="1" wp14:anchorId="67C9E1AD" wp14:editId="2E028540">
                <wp:simplePos x="0" y="0"/>
                <wp:positionH relativeFrom="margin">
                  <wp:posOffset>-2540</wp:posOffset>
                </wp:positionH>
                <wp:positionV relativeFrom="paragraph">
                  <wp:posOffset>5591810</wp:posOffset>
                </wp:positionV>
                <wp:extent cx="5761355" cy="1350010"/>
                <wp:effectExtent l="0" t="0" r="0" b="0"/>
                <wp:wrapSquare wrapText="bothSides"/>
                <wp:docPr id="136482008"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1355" cy="1350010"/>
                        </a:xfrm>
                        <a:prstGeom prst="rect">
                          <a:avLst/>
                        </a:prstGeom>
                        <a:noFill/>
                        <a:ln w="9525">
                          <a:noFill/>
                          <a:miter lim="800000"/>
                          <a:headEnd/>
                          <a:tailEnd/>
                        </a:ln>
                      </wps:spPr>
                      <wps:txbx>
                        <w:txbxContent>
                          <w:p w14:paraId="1394C9DF" w14:textId="29205615" w:rsidR="001E06D5" w:rsidRPr="00230D8A" w:rsidRDefault="00230D8A" w:rsidP="001E06D5">
                            <w:pPr>
                              <w:pStyle w:val="Subtitle1"/>
                              <w:rPr>
                                <w:b/>
                                <w:bCs/>
                                <w:sz w:val="36"/>
                                <w:szCs w:val="36"/>
                              </w:rPr>
                            </w:pPr>
                            <w:r w:rsidRPr="00230D8A">
                              <w:rPr>
                                <w:b/>
                                <w:bCs/>
                                <w:sz w:val="36"/>
                                <w:szCs w:val="36"/>
                              </w:rPr>
                              <w:t xml:space="preserve">Annex </w:t>
                            </w:r>
                            <w:r w:rsidR="00C85533">
                              <w:rPr>
                                <w:b/>
                                <w:bCs/>
                                <w:sz w:val="36"/>
                                <w:szCs w:val="36"/>
                              </w:rPr>
                              <w:t>1</w:t>
                            </w:r>
                            <w:r w:rsidRPr="00230D8A">
                              <w:rPr>
                                <w:b/>
                                <w:bCs/>
                                <w:sz w:val="36"/>
                                <w:szCs w:val="36"/>
                              </w:rPr>
                              <w:t xml:space="preserve"> / C</w:t>
                            </w:r>
                            <w:r w:rsidR="00C85533">
                              <w:rPr>
                                <w:b/>
                                <w:bCs/>
                                <w:sz w:val="36"/>
                                <w:szCs w:val="36"/>
                              </w:rPr>
                              <w:t>2</w:t>
                            </w:r>
                            <w:r w:rsidRPr="00230D8A">
                              <w:rPr>
                                <w:b/>
                                <w:bCs/>
                                <w:sz w:val="36"/>
                                <w:szCs w:val="36"/>
                              </w:rPr>
                              <w:t xml:space="preserve"> to O3.2</w:t>
                            </w:r>
                            <w:r>
                              <w:rPr>
                                <w:b/>
                                <w:bCs/>
                                <w:sz w:val="36"/>
                                <w:szCs w:val="36"/>
                              </w:rPr>
                              <w:t xml:space="preserve"> </w:t>
                            </w:r>
                            <w:r w:rsidRPr="00230D8A">
                              <w:rPr>
                                <w:b/>
                                <w:bCs/>
                                <w:sz w:val="36"/>
                                <w:szCs w:val="36"/>
                              </w:rPr>
                              <w:t>A jointly developed technological pilot solution tested in parallel in operating energy communities</w:t>
                            </w:r>
                          </w:p>
                          <w:p w14:paraId="4E111DF1" w14:textId="77777777" w:rsidR="001E06D5" w:rsidRDefault="001E06D5" w:rsidP="001E06D5">
                            <w:pPr>
                              <w:pStyle w:val="Subtitle1"/>
                              <w:rPr>
                                <w:sz w:val="36"/>
                                <w:szCs w:val="36"/>
                              </w:rPr>
                            </w:pPr>
                          </w:p>
                          <w:p w14:paraId="5365171C" w14:textId="2C49359D" w:rsidR="001E06D5" w:rsidRPr="00CF34F1" w:rsidRDefault="00230D8A" w:rsidP="001E06D5">
                            <w:pPr>
                              <w:pStyle w:val="Subtitle1"/>
                              <w:rPr>
                                <w:sz w:val="36"/>
                                <w:szCs w:val="36"/>
                              </w:rPr>
                            </w:pPr>
                            <w:r>
                              <w:rPr>
                                <w:sz w:val="36"/>
                                <w:szCs w:val="36"/>
                              </w:rPr>
                              <w:t>June</w:t>
                            </w:r>
                            <w:r w:rsidR="001E06D5">
                              <w:rPr>
                                <w:sz w:val="36"/>
                                <w:szCs w:val="36"/>
                              </w:rPr>
                              <w:t xml:space="preserve"> 202</w:t>
                            </w:r>
                            <w:r>
                              <w:rPr>
                                <w:sz w:val="36"/>
                                <w:szCs w:val="36"/>
                              </w:rPr>
                              <w:t>6</w:t>
                            </w:r>
                          </w:p>
                        </w:txbxContent>
                      </wps:txbx>
                      <wps:bodyPr rot="0" vert="horz" wrap="square" lIns="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C9E1AD" id="_x0000_s1027" type="#_x0000_t202" style="position:absolute;margin-left:-.2pt;margin-top:440.3pt;width:453.65pt;height:106.3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" filled="f" stroked="f">
                <v:textbox inset="0">
                  <w:txbxContent>
                    <w:p w14:paraId="1394C9DF" w14:textId="29205615" w:rsidR="001E06D5" w:rsidRPr="00230D8A" w:rsidRDefault="00230D8A" w:rsidP="001E06D5">
                      <w:pPr>
                        <w:pStyle w:val="Subtitle1"/>
                        <w:rPr>
                          <w:b/>
                          <w:bCs/>
                          <w:sz w:val="36"/>
                          <w:szCs w:val="36"/>
                        </w:rPr>
                      </w:pPr>
                      <w:r w:rsidRPr="00230D8A">
                        <w:rPr>
                          <w:b/>
                          <w:bCs/>
                          <w:sz w:val="36"/>
                          <w:szCs w:val="36"/>
                        </w:rPr>
                        <w:t xml:space="preserve">Annex </w:t>
                      </w:r>
                      <w:r w:rsidR="00C85533">
                        <w:rPr>
                          <w:b/>
                          <w:bCs/>
                          <w:sz w:val="36"/>
                          <w:szCs w:val="36"/>
                        </w:rPr>
                        <w:t>1</w:t>
                      </w:r>
                      <w:r w:rsidRPr="00230D8A">
                        <w:rPr>
                          <w:b/>
                          <w:bCs/>
                          <w:sz w:val="36"/>
                          <w:szCs w:val="36"/>
                        </w:rPr>
                        <w:t xml:space="preserve"> / C</w:t>
                      </w:r>
                      <w:r w:rsidR="00C85533">
                        <w:rPr>
                          <w:b/>
                          <w:bCs/>
                          <w:sz w:val="36"/>
                          <w:szCs w:val="36"/>
                        </w:rPr>
                        <w:t>2</w:t>
                      </w:r>
                      <w:r w:rsidRPr="00230D8A">
                        <w:rPr>
                          <w:b/>
                          <w:bCs/>
                          <w:sz w:val="36"/>
                          <w:szCs w:val="36"/>
                        </w:rPr>
                        <w:t xml:space="preserve"> to O3.2</w:t>
                      </w:r>
                      <w:r>
                        <w:rPr>
                          <w:b/>
                          <w:bCs/>
                          <w:sz w:val="36"/>
                          <w:szCs w:val="36"/>
                        </w:rPr>
                        <w:t xml:space="preserve"> </w:t>
                      </w:r>
                      <w:r w:rsidRPr="00230D8A">
                        <w:rPr>
                          <w:b/>
                          <w:bCs/>
                          <w:sz w:val="36"/>
                          <w:szCs w:val="36"/>
                        </w:rPr>
                        <w:t>A jointly developed technological pilot solution tested in parallel in operating energy communities</w:t>
                      </w:r>
                    </w:p>
                    <w:p w14:paraId="4E111DF1" w14:textId="77777777" w:rsidR="001E06D5" w:rsidRDefault="001E06D5" w:rsidP="001E06D5">
                      <w:pPr>
                        <w:pStyle w:val="Subtitle1"/>
                        <w:rPr>
                          <w:sz w:val="36"/>
                          <w:szCs w:val="36"/>
                        </w:rPr>
                      </w:pPr>
                    </w:p>
                    <w:p w14:paraId="5365171C" w14:textId="2C49359D" w:rsidR="001E06D5" w:rsidRPr="00CF34F1" w:rsidRDefault="00230D8A" w:rsidP="001E06D5">
                      <w:pPr>
                        <w:pStyle w:val="Subtitle1"/>
                        <w:rPr>
                          <w:sz w:val="36"/>
                          <w:szCs w:val="36"/>
                        </w:rPr>
                      </w:pPr>
                      <w:r>
                        <w:rPr>
                          <w:sz w:val="36"/>
                          <w:szCs w:val="36"/>
                        </w:rPr>
                        <w:t>June</w:t>
                      </w:r>
                      <w:r w:rsidR="001E06D5">
                        <w:rPr>
                          <w:sz w:val="36"/>
                          <w:szCs w:val="36"/>
                        </w:rPr>
                        <w:t xml:space="preserve"> 202</w:t>
                      </w:r>
                      <w:r>
                        <w:rPr>
                          <w:sz w:val="36"/>
                          <w:szCs w:val="36"/>
                        </w:rPr>
                        <w:t>6</w:t>
                      </w:r>
                    </w:p>
                  </w:txbxContent>
                </v:textbox>
                <w10:wrap type="square" anchorx="margin"/>
              </v:shape>
            </w:pict>
          </mc:Fallback>
        </mc:AlternateContent>
      </w:r>
      <w:r w:rsidR="001E06D5" w:rsidRPr="00EE4561">
        <w:rPr>
          <w:noProof/>
        </w:rPr>
        <w:drawing>
          <wp:anchor distT="0" distB="0" distL="114300" distR="114300" simplePos="0" relativeHeight="251662336" behindDoc="1" locked="0" layoutInCell="1" allowOverlap="1" wp14:anchorId="25561989" wp14:editId="6DB96673">
            <wp:simplePos x="0" y="0"/>
            <wp:positionH relativeFrom="page">
              <wp:posOffset>0</wp:posOffset>
            </wp:positionH>
            <wp:positionV relativeFrom="paragraph">
              <wp:posOffset>1977171</wp:posOffset>
            </wp:positionV>
            <wp:extent cx="7559675" cy="8117911"/>
            <wp:effectExtent l="0" t="0" r="0" b="0"/>
            <wp:wrapNone/>
            <wp:docPr id="325963979" name="Kép 1" descr="Obsah obrázku hora&#10;&#10;Obsah generovaný pomocí AI může být nesprávn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5963979" name="Kép 1" descr="Obsah obrázku hora&#10;&#10;Obsah generovaný pomocí AI může být nesprávný."/>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59675" cy="8117911"/>
                    </a:xfrm>
                    <a:prstGeom prst="rect">
                      <a:avLst/>
                    </a:prstGeom>
                    <a:noFill/>
                    <a:ln>
                      <a:noFill/>
                    </a:ln>
                  </pic:spPr>
                </pic:pic>
              </a:graphicData>
            </a:graphic>
            <wp14:sizeRelH relativeFrom="margin">
              <wp14:pctWidth>0</wp14:pctWidth>
            </wp14:sizeRelH>
            <wp14:sizeRelV relativeFrom="margin">
              <wp14:pctHeight>0</wp14:pctHeight>
            </wp14:sizeRelV>
          </wp:anchor>
        </w:drawing>
      </w:r>
      <w:bookmarkEnd w:id="0"/>
      <w:bookmarkEnd w:id="1"/>
      <w:bookmarkEnd w:id="2"/>
      <w:bookmarkEnd w:id="3"/>
      <w:r w:rsidR="001E06D5">
        <w:br w:type="column"/>
      </w:r>
      <w:r w:rsidR="00230D8A" w:rsidRPr="00230D8A">
        <w:lastRenderedPageBreak/>
        <w:t xml:space="preserve">Output </w:t>
      </w:r>
      <w:r w:rsidR="00C85533">
        <w:t>Factsheet</w:t>
      </w:r>
      <w:r w:rsidR="00230D8A" w:rsidRPr="00230D8A">
        <w:t xml:space="preserve"> </w:t>
      </w:r>
    </w:p>
    <w:tbl>
      <w:tblPr>
        <w:tblStyle w:val="Mkatabulky"/>
        <w:tblW w:w="0" w:type="auto"/>
        <w:tblBorders>
          <w:top w:val="dotted" w:sz="4" w:space="0" w:color="17365D"/>
          <w:left w:val="dotted" w:sz="4" w:space="0" w:color="17365D"/>
          <w:bottom w:val="dotted" w:sz="4" w:space="0" w:color="17365D"/>
          <w:right w:val="dotted" w:sz="4" w:space="0" w:color="17365D"/>
          <w:insideH w:val="dotted" w:sz="4" w:space="0" w:color="17365D"/>
          <w:insideV w:val="dotted" w:sz="4" w:space="0" w:color="17365D"/>
        </w:tblBorders>
        <w:tblLook w:val="04A0" w:firstRow="1" w:lastRow="0" w:firstColumn="1" w:lastColumn="0" w:noHBand="0" w:noVBand="1"/>
      </w:tblPr>
      <w:tblGrid>
        <w:gridCol w:w="9062"/>
      </w:tblGrid>
      <w:tr w:rsidR="00C85533" w:rsidRPr="00C85533" w14:paraId="39C94665" w14:textId="77777777" w:rsidTr="00C85533">
        <w:tc>
          <w:tcPr>
            <w:tcW w:w="9062" w:type="dxa"/>
          </w:tcPr>
          <w:p w14:paraId="3281D4B1" w14:textId="77777777" w:rsidR="00C85533" w:rsidRPr="00C85533" w:rsidRDefault="00C85533" w:rsidP="00C85533">
            <w:pPr>
              <w:spacing w:before="120" w:after="120"/>
              <w:rPr>
                <w:rFonts w:ascii="Open Sans" w:eastAsia="Calibri" w:hAnsi="Open Sans" w:cs="Open Sans"/>
                <w:lang w:val="en-US"/>
              </w:rPr>
            </w:pPr>
            <w:r w:rsidRPr="00C85533">
              <w:rPr>
                <w:rFonts w:ascii="Open Sans" w:eastAsia="Calibri" w:hAnsi="Open Sans" w:cs="Open Sans"/>
                <w:b/>
                <w:color w:val="003399"/>
                <w:lang w:val="en-US"/>
              </w:rPr>
              <w:t>Output title: A jointly developed technological pilot solution tested in parallel in operating energy communities</w:t>
            </w:r>
          </w:p>
        </w:tc>
      </w:tr>
      <w:tr w:rsidR="00C85533" w:rsidRPr="00C85533" w14:paraId="69ABEFCE" w14:textId="77777777" w:rsidTr="00C85533">
        <w:tc>
          <w:tcPr>
            <w:tcW w:w="9062" w:type="dxa"/>
          </w:tcPr>
          <w:p w14:paraId="4B8C8A8C" w14:textId="77777777" w:rsidR="00C85533" w:rsidRPr="00C85533" w:rsidRDefault="00C85533" w:rsidP="00C85533">
            <w:pPr>
              <w:spacing w:before="120" w:after="120"/>
              <w:rPr>
                <w:rFonts w:ascii="Open Sans" w:eastAsia="Calibri" w:hAnsi="Open Sans" w:cs="Open Sans"/>
                <w:b/>
                <w:color w:val="365F91"/>
                <w:lang w:val="en-GB"/>
              </w:rPr>
            </w:pPr>
            <w:r w:rsidRPr="00C85533">
              <w:rPr>
                <w:rFonts w:ascii="Open Sans" w:eastAsia="Calibri" w:hAnsi="Open Sans" w:cs="Open Sans"/>
                <w:b/>
                <w:color w:val="365F91"/>
                <w:lang w:val="en-GB"/>
              </w:rPr>
              <w:t>Summary of the output (max. 2500 characters)</w:t>
            </w:r>
          </w:p>
        </w:tc>
      </w:tr>
      <w:tr w:rsidR="00C85533" w:rsidRPr="00C85533" w14:paraId="303A587A" w14:textId="77777777" w:rsidTr="00C85533">
        <w:tc>
          <w:tcPr>
            <w:tcW w:w="9062" w:type="dxa"/>
          </w:tcPr>
          <w:p>
            <w:r>
              <w:t>Output 3.2 is a jointly developed technological pilot solution – ETMEC, delivered in its production version as the ETMEC Community Advisor – created by project partner NEK (Slovakia) with input from the participating partners and tested in parallel in operating renewable energy communities (RECs) across the Danube Region: Neudörfl (AT), Enerkom Šumavsko / Růže (CZ), Petržalka and the Prešov region (SK) and Luče / Velenje (SI). The solution was developed under Activity A3.3 (deliverable D.3.3.1) and implemented and validated under Activity A3.4. Pilot readiness was assessed with a standardised methodology scoring communities across technical, economic and institutional/legal dimensions (0–60 points). The pilot methodology and feedback were then further developed into the production version – the ETMEC Community Advisor – a browser-based, open-source self-assessment application that evaluates EC readiness through 8 sections / 38 questions across seven dimensions, with weighted scoring, automatic readiness levels (High/Medium/Low), interactive charts and PDF/Excel export, designed for all 14 Danube Region countries and aligned with EU Directives 2018/2001 (RED II) and 2019/944. It runs in any web browser without installation and incorporates the readiness assessment data from the pilot testing. The results, barriers and good practices were consolidated in the Efficiency Report (D.3.4.1) and feed directly into the project White Paper (O3.3).</w:t>
            </w:r>
          </w:p>
        </w:tc>
      </w:tr>
      <w:tr w:rsidR="00C85533" w:rsidRPr="00C85533" w14:paraId="2C0D55E3" w14:textId="77777777" w:rsidTr="00C85533">
        <w:tc>
          <w:tcPr>
            <w:tcW w:w="9062" w:type="dxa"/>
            <w:tcBorders>
              <w:bottom w:val="dotted" w:sz="4" w:space="0" w:color="17365D"/>
            </w:tcBorders>
          </w:tcPr>
          <w:p w14:paraId="49611271" w14:textId="77777777" w:rsidR="00C85533" w:rsidRPr="00C85533" w:rsidRDefault="00C85533" w:rsidP="00C85533">
            <w:pPr>
              <w:spacing w:before="120" w:after="120"/>
              <w:rPr>
                <w:rFonts w:ascii="Open Sans" w:eastAsia="Calibri" w:hAnsi="Open Sans" w:cs="Open Sans"/>
                <w:b/>
                <w:color w:val="365F91"/>
                <w:lang w:val="en-GB"/>
              </w:rPr>
            </w:pPr>
            <w:r w:rsidRPr="00C85533">
              <w:rPr>
                <w:rFonts w:ascii="Open Sans" w:eastAsia="Calibri" w:hAnsi="Open Sans" w:cs="Open Sans"/>
                <w:b/>
                <w:color w:val="365F91"/>
                <w:lang w:val="en-US"/>
              </w:rPr>
              <w:t xml:space="preserve">Contribution to the </w:t>
            </w:r>
            <w:proofErr w:type="spellStart"/>
            <w:r w:rsidRPr="00C85533">
              <w:rPr>
                <w:rFonts w:ascii="Open Sans" w:eastAsia="Calibri" w:hAnsi="Open Sans" w:cs="Open Sans"/>
                <w:b/>
                <w:color w:val="365F91"/>
                <w:lang w:val="en-US"/>
              </w:rPr>
              <w:t>programme</w:t>
            </w:r>
            <w:proofErr w:type="spellEnd"/>
            <w:r w:rsidRPr="00C85533">
              <w:rPr>
                <w:rFonts w:ascii="Open Sans" w:eastAsia="Calibri" w:hAnsi="Open Sans" w:cs="Open Sans"/>
                <w:b/>
                <w:color w:val="365F91"/>
                <w:lang w:val="en-US"/>
              </w:rPr>
              <w:t xml:space="preserve"> and project objectives, output and result indicator, as well as to the targets set for the Priority Area concerned</w:t>
            </w:r>
            <w:r w:rsidRPr="00C85533">
              <w:rPr>
                <w:rFonts w:ascii="Open Sans" w:eastAsia="Calibri" w:hAnsi="Open Sans" w:cs="Open Sans"/>
                <w:b/>
                <w:color w:val="365F91"/>
                <w:lang w:val="en-GB"/>
              </w:rPr>
              <w:t xml:space="preserve"> (max. 2000 characters)</w:t>
            </w:r>
          </w:p>
        </w:tc>
      </w:tr>
      <w:tr w:rsidR="00C85533" w:rsidRPr="00C85533" w14:paraId="49998184" w14:textId="77777777" w:rsidTr="00C85533">
        <w:tc>
          <w:tcPr>
            <w:tcW w:w="9062" w:type="dxa"/>
          </w:tcPr>
          <w:p w14:paraId="16A4C154" w14:textId="77777777" w:rsidR="00C85533" w:rsidRPr="00C85533" w:rsidRDefault="00C85533" w:rsidP="00C85533">
            <w:pPr>
              <w:jc w:val="both"/>
              <w:rPr>
                <w:rFonts w:ascii="Open Sans" w:eastAsia="Calibri" w:hAnsi="Open Sans" w:cs="Open Sans"/>
                <w:lang w:val="en-US"/>
              </w:rPr>
            </w:pPr>
            <w:r w:rsidRPr="00C85533">
              <w:rPr>
                <w:rFonts w:ascii="Open Sans" w:eastAsia="Calibri" w:hAnsi="Open Sans" w:cs="Open Sans"/>
                <w:lang w:val="en-US"/>
              </w:rPr>
              <w:t xml:space="preserve">Output 3.2 directly delivers </w:t>
            </w:r>
            <w:proofErr w:type="spellStart"/>
            <w:r w:rsidRPr="00C85533">
              <w:rPr>
                <w:rFonts w:ascii="Open Sans" w:eastAsia="Calibri" w:hAnsi="Open Sans" w:cs="Open Sans"/>
                <w:lang w:val="en-US"/>
              </w:rPr>
              <w:t>Programme</w:t>
            </w:r>
            <w:proofErr w:type="spellEnd"/>
            <w:r w:rsidRPr="00C85533">
              <w:rPr>
                <w:rFonts w:ascii="Open Sans" w:eastAsia="Calibri" w:hAnsi="Open Sans" w:cs="Open Sans"/>
                <w:lang w:val="en-US"/>
              </w:rPr>
              <w:t xml:space="preserve"> Output Indicator 2.1.3 “Pilot actions developed jointly and implemented in projects” (measurement unit: pilot actions; target value: 1.00), achieving one jointly developed and parallel-tested pilot action. It contributes to Specific Objective SO3 “Enhancing production and use of renewables through pilot testing in potential and existing RECs” and to Priority Area 2 of the EU Strategy for the Danube Region. By providing RECs with a shared technological tool for more resource- and cost-efficient operation, the output supports the project objective of creating appropriate operational conditions for renewable energy communities. It builds on the project’s earlier analytical work – business models and stakeholder management (A1.2) and the assessment of low-cost infrastructure investments (A1.4) – and links Activity A3.3 (software development) with A3.4 (parallel implementation and testing). It also supports the result on increased institutional capacity of cooperating </w:t>
            </w:r>
            <w:proofErr w:type="spellStart"/>
            <w:r w:rsidRPr="00C85533">
              <w:rPr>
                <w:rFonts w:ascii="Open Sans" w:eastAsia="Calibri" w:hAnsi="Open Sans" w:cs="Open Sans"/>
                <w:lang w:val="en-US"/>
              </w:rPr>
              <w:t>organisations</w:t>
            </w:r>
            <w:proofErr w:type="spellEnd"/>
            <w:r w:rsidRPr="00C85533">
              <w:rPr>
                <w:rFonts w:ascii="Open Sans" w:eastAsia="Calibri" w:hAnsi="Open Sans" w:cs="Open Sans"/>
                <w:lang w:val="en-US"/>
              </w:rPr>
              <w:t>, as partners and pilot communities jointly developed and applied the methodology and tool across borders. Its findings provide evidence-based input to Output 3.3 (White Paper), supporting the wider and more sustainable functioning of RECs across the Danube Region.</w:t>
            </w:r>
          </w:p>
        </w:tc>
      </w:tr>
      <w:tr w:rsidR="00C85533" w:rsidRPr="00C85533" w14:paraId="2B305D9A" w14:textId="77777777" w:rsidTr="00C85533">
        <w:tc>
          <w:tcPr>
            <w:tcW w:w="9062" w:type="dxa"/>
          </w:tcPr>
          <w:p w14:paraId="210A822B" w14:textId="77777777" w:rsidR="00C85533" w:rsidRPr="00C85533" w:rsidRDefault="00C85533" w:rsidP="00C85533">
            <w:pPr>
              <w:autoSpaceDE w:val="0"/>
              <w:autoSpaceDN w:val="0"/>
              <w:adjustRightInd w:val="0"/>
              <w:spacing w:after="246"/>
              <w:rPr>
                <w:rFonts w:ascii="Open Sans" w:eastAsia="Calibri" w:hAnsi="Open Sans" w:cs="Open Sans"/>
                <w:b/>
                <w:color w:val="365F91"/>
              </w:rPr>
            </w:pPr>
            <w:proofErr w:type="spellStart"/>
            <w:r w:rsidRPr="00C85533">
              <w:rPr>
                <w:rFonts w:ascii="Open Sans" w:eastAsia="Calibri" w:hAnsi="Open Sans" w:cs="Open Sans"/>
                <w:b/>
                <w:color w:val="365F91"/>
              </w:rPr>
              <w:lastRenderedPageBreak/>
              <w:t>How</w:t>
            </w:r>
            <w:proofErr w:type="spellEnd"/>
            <w:r w:rsidRPr="00C85533">
              <w:rPr>
                <w:rFonts w:ascii="Open Sans" w:eastAsia="Calibri" w:hAnsi="Open Sans" w:cs="Open Sans"/>
                <w:b/>
                <w:color w:val="365F91"/>
              </w:rPr>
              <w:t xml:space="preserve"> </w:t>
            </w:r>
            <w:proofErr w:type="spellStart"/>
            <w:r w:rsidRPr="00C85533">
              <w:rPr>
                <w:rFonts w:ascii="Open Sans" w:eastAsia="Calibri" w:hAnsi="Open Sans" w:cs="Open Sans"/>
                <w:b/>
                <w:color w:val="365F91"/>
              </w:rPr>
              <w:t>can</w:t>
            </w:r>
            <w:proofErr w:type="spellEnd"/>
            <w:r w:rsidRPr="00C85533">
              <w:rPr>
                <w:rFonts w:ascii="Open Sans" w:eastAsia="Calibri" w:hAnsi="Open Sans" w:cs="Open Sans"/>
                <w:b/>
                <w:color w:val="365F91"/>
              </w:rPr>
              <w:t xml:space="preserve"> </w:t>
            </w:r>
            <w:proofErr w:type="spellStart"/>
            <w:r w:rsidRPr="00C85533">
              <w:rPr>
                <w:rFonts w:ascii="Open Sans" w:eastAsia="Calibri" w:hAnsi="Open Sans" w:cs="Open Sans"/>
                <w:b/>
                <w:color w:val="365F91"/>
              </w:rPr>
              <w:t>the</w:t>
            </w:r>
            <w:proofErr w:type="spellEnd"/>
            <w:r w:rsidRPr="00C85533">
              <w:rPr>
                <w:rFonts w:ascii="Open Sans" w:eastAsia="Calibri" w:hAnsi="Open Sans" w:cs="Open Sans"/>
                <w:b/>
                <w:color w:val="365F91"/>
              </w:rPr>
              <w:t xml:space="preserve"> output be </w:t>
            </w:r>
            <w:proofErr w:type="spellStart"/>
            <w:r w:rsidRPr="00C85533">
              <w:rPr>
                <w:rFonts w:ascii="Open Sans" w:eastAsia="Calibri" w:hAnsi="Open Sans" w:cs="Open Sans"/>
                <w:b/>
                <w:color w:val="365F91"/>
              </w:rPr>
              <w:t>used</w:t>
            </w:r>
            <w:proofErr w:type="spellEnd"/>
            <w:r w:rsidRPr="00C85533">
              <w:rPr>
                <w:rFonts w:ascii="Open Sans" w:eastAsia="Calibri" w:hAnsi="Open Sans" w:cs="Open Sans"/>
                <w:b/>
                <w:color w:val="365F91"/>
              </w:rPr>
              <w:t xml:space="preserve"> and </w:t>
            </w:r>
            <w:proofErr w:type="spellStart"/>
            <w:r w:rsidRPr="00C85533">
              <w:rPr>
                <w:rFonts w:ascii="Open Sans" w:eastAsia="Calibri" w:hAnsi="Open Sans" w:cs="Open Sans"/>
                <w:b/>
                <w:color w:val="365F91"/>
              </w:rPr>
              <w:t>by</w:t>
            </w:r>
            <w:proofErr w:type="spellEnd"/>
            <w:r w:rsidRPr="00C85533">
              <w:rPr>
                <w:rFonts w:ascii="Open Sans" w:eastAsia="Calibri" w:hAnsi="Open Sans" w:cs="Open Sans"/>
                <w:b/>
                <w:color w:val="365F91"/>
              </w:rPr>
              <w:t xml:space="preserve"> </w:t>
            </w:r>
            <w:proofErr w:type="spellStart"/>
            <w:r w:rsidRPr="00C85533">
              <w:rPr>
                <w:rFonts w:ascii="Open Sans" w:eastAsia="Calibri" w:hAnsi="Open Sans" w:cs="Open Sans"/>
                <w:b/>
                <w:color w:val="365F91"/>
              </w:rPr>
              <w:t>whom</w:t>
            </w:r>
            <w:proofErr w:type="spellEnd"/>
            <w:r w:rsidRPr="00C85533">
              <w:rPr>
                <w:rFonts w:ascii="Open Sans" w:eastAsia="Calibri" w:hAnsi="Open Sans" w:cs="Open Sans"/>
                <w:b/>
                <w:color w:val="365F91"/>
              </w:rPr>
              <w:t xml:space="preserve"> (</w:t>
            </w:r>
            <w:proofErr w:type="spellStart"/>
            <w:r w:rsidRPr="00C85533">
              <w:rPr>
                <w:rFonts w:ascii="Open Sans" w:eastAsia="Calibri" w:hAnsi="Open Sans" w:cs="Open Sans"/>
                <w:b/>
                <w:color w:val="365F91"/>
              </w:rPr>
              <w:t>target</w:t>
            </w:r>
            <w:proofErr w:type="spellEnd"/>
            <w:r w:rsidRPr="00C85533">
              <w:rPr>
                <w:rFonts w:ascii="Open Sans" w:eastAsia="Calibri" w:hAnsi="Open Sans" w:cs="Open Sans"/>
                <w:b/>
                <w:color w:val="365F91"/>
              </w:rPr>
              <w:t xml:space="preserve"> </w:t>
            </w:r>
            <w:proofErr w:type="spellStart"/>
            <w:r w:rsidRPr="00C85533">
              <w:rPr>
                <w:rFonts w:ascii="Open Sans" w:eastAsia="Calibri" w:hAnsi="Open Sans" w:cs="Open Sans"/>
                <w:b/>
                <w:color w:val="365F91"/>
              </w:rPr>
              <w:t>group</w:t>
            </w:r>
            <w:proofErr w:type="spellEnd"/>
            <w:r w:rsidRPr="00C85533">
              <w:rPr>
                <w:rFonts w:ascii="Open Sans" w:eastAsia="Calibri" w:hAnsi="Open Sans" w:cs="Open Sans"/>
                <w:b/>
                <w:color w:val="365F91"/>
              </w:rPr>
              <w:t xml:space="preserve">), </w:t>
            </w:r>
            <w:proofErr w:type="spellStart"/>
            <w:r w:rsidRPr="00C85533">
              <w:rPr>
                <w:rFonts w:ascii="Open Sans" w:eastAsia="Calibri" w:hAnsi="Open Sans" w:cs="Open Sans"/>
                <w:b/>
                <w:color w:val="365F91"/>
              </w:rPr>
              <w:t>what</w:t>
            </w:r>
            <w:proofErr w:type="spellEnd"/>
            <w:r w:rsidRPr="00C85533">
              <w:rPr>
                <w:rFonts w:ascii="Open Sans" w:eastAsia="Calibri" w:hAnsi="Open Sans" w:cs="Open Sans"/>
                <w:b/>
                <w:color w:val="365F91"/>
              </w:rPr>
              <w:t xml:space="preserve"> is </w:t>
            </w:r>
            <w:proofErr w:type="spellStart"/>
            <w:r w:rsidRPr="00C85533">
              <w:rPr>
                <w:rFonts w:ascii="Open Sans" w:eastAsia="Calibri" w:hAnsi="Open Sans" w:cs="Open Sans"/>
                <w:b/>
                <w:color w:val="365F91"/>
              </w:rPr>
              <w:t>the</w:t>
            </w:r>
            <w:proofErr w:type="spellEnd"/>
            <w:r w:rsidRPr="00C85533">
              <w:rPr>
                <w:rFonts w:ascii="Open Sans" w:eastAsia="Calibri" w:hAnsi="Open Sans" w:cs="Open Sans"/>
                <w:b/>
                <w:color w:val="365F91"/>
              </w:rPr>
              <w:t xml:space="preserve"> benefit and </w:t>
            </w:r>
            <w:proofErr w:type="spellStart"/>
            <w:r w:rsidRPr="00C85533">
              <w:rPr>
                <w:rFonts w:ascii="Open Sans" w:eastAsia="Calibri" w:hAnsi="Open Sans" w:cs="Open Sans"/>
                <w:b/>
                <w:color w:val="365F91"/>
              </w:rPr>
              <w:t>the</w:t>
            </w:r>
            <w:proofErr w:type="spellEnd"/>
            <w:r w:rsidRPr="00C85533">
              <w:rPr>
                <w:rFonts w:ascii="Open Sans" w:eastAsia="Calibri" w:hAnsi="Open Sans" w:cs="Open Sans"/>
                <w:b/>
                <w:color w:val="365F91"/>
              </w:rPr>
              <w:t xml:space="preserve"> </w:t>
            </w:r>
            <w:proofErr w:type="spellStart"/>
            <w:r w:rsidRPr="00C85533">
              <w:rPr>
                <w:rFonts w:ascii="Open Sans" w:eastAsia="Calibri" w:hAnsi="Open Sans" w:cs="Open Sans"/>
                <w:b/>
                <w:color w:val="365F91"/>
              </w:rPr>
              <w:t>impact</w:t>
            </w:r>
            <w:proofErr w:type="spellEnd"/>
            <w:r w:rsidRPr="00C85533">
              <w:rPr>
                <w:rFonts w:ascii="Open Sans" w:eastAsia="Calibri" w:hAnsi="Open Sans" w:cs="Open Sans"/>
                <w:b/>
                <w:color w:val="365F91"/>
              </w:rPr>
              <w:t xml:space="preserve"> </w:t>
            </w:r>
            <w:proofErr w:type="spellStart"/>
            <w:r w:rsidRPr="00C85533">
              <w:rPr>
                <w:rFonts w:ascii="Open Sans" w:eastAsia="Calibri" w:hAnsi="Open Sans" w:cs="Open Sans"/>
                <w:b/>
                <w:color w:val="365F91"/>
              </w:rPr>
              <w:t>for</w:t>
            </w:r>
            <w:proofErr w:type="spellEnd"/>
            <w:r w:rsidRPr="00C85533">
              <w:rPr>
                <w:rFonts w:ascii="Open Sans" w:eastAsia="Calibri" w:hAnsi="Open Sans" w:cs="Open Sans"/>
                <w:b/>
                <w:color w:val="365F91"/>
              </w:rPr>
              <w:t xml:space="preserve"> </w:t>
            </w:r>
            <w:proofErr w:type="spellStart"/>
            <w:r w:rsidRPr="00C85533">
              <w:rPr>
                <w:rFonts w:ascii="Open Sans" w:eastAsia="Calibri" w:hAnsi="Open Sans" w:cs="Open Sans"/>
                <w:b/>
                <w:color w:val="365F91"/>
              </w:rPr>
              <w:t>these</w:t>
            </w:r>
            <w:proofErr w:type="spellEnd"/>
            <w:r w:rsidRPr="00C85533">
              <w:rPr>
                <w:rFonts w:ascii="Open Sans" w:eastAsia="Calibri" w:hAnsi="Open Sans" w:cs="Open Sans"/>
                <w:b/>
                <w:color w:val="365F91"/>
              </w:rPr>
              <w:t xml:space="preserve"> </w:t>
            </w:r>
            <w:proofErr w:type="spellStart"/>
            <w:r w:rsidRPr="00C85533">
              <w:rPr>
                <w:rFonts w:ascii="Open Sans" w:eastAsia="Calibri" w:hAnsi="Open Sans" w:cs="Open Sans"/>
                <w:b/>
                <w:color w:val="365F91"/>
              </w:rPr>
              <w:t>target</w:t>
            </w:r>
            <w:proofErr w:type="spellEnd"/>
            <w:r w:rsidRPr="00C85533">
              <w:rPr>
                <w:rFonts w:ascii="Open Sans" w:eastAsia="Calibri" w:hAnsi="Open Sans" w:cs="Open Sans"/>
                <w:b/>
                <w:color w:val="365F91"/>
              </w:rPr>
              <w:t xml:space="preserve"> </w:t>
            </w:r>
            <w:proofErr w:type="spellStart"/>
            <w:r w:rsidRPr="00C85533">
              <w:rPr>
                <w:rFonts w:ascii="Open Sans" w:eastAsia="Calibri" w:hAnsi="Open Sans" w:cs="Open Sans"/>
                <w:b/>
                <w:color w:val="365F91"/>
              </w:rPr>
              <w:t>groups</w:t>
            </w:r>
            <w:proofErr w:type="spellEnd"/>
            <w:r w:rsidRPr="00C85533">
              <w:rPr>
                <w:rFonts w:ascii="Open Sans" w:eastAsia="Calibri" w:hAnsi="Open Sans" w:cs="Open Sans"/>
                <w:b/>
                <w:color w:val="365F91"/>
              </w:rPr>
              <w:t xml:space="preserve"> and </w:t>
            </w:r>
            <w:proofErr w:type="spellStart"/>
            <w:r w:rsidRPr="00C85533">
              <w:rPr>
                <w:rFonts w:ascii="Open Sans" w:eastAsia="Calibri" w:hAnsi="Open Sans" w:cs="Open Sans"/>
                <w:b/>
                <w:color w:val="365F91"/>
              </w:rPr>
              <w:t>the</w:t>
            </w:r>
            <w:proofErr w:type="spellEnd"/>
            <w:r w:rsidRPr="00C85533">
              <w:rPr>
                <w:rFonts w:ascii="Open Sans" w:eastAsia="Calibri" w:hAnsi="Open Sans" w:cs="Open Sans"/>
                <w:b/>
                <w:color w:val="365F91"/>
              </w:rPr>
              <w:t xml:space="preserve"> </w:t>
            </w:r>
            <w:proofErr w:type="spellStart"/>
            <w:r w:rsidRPr="00C85533">
              <w:rPr>
                <w:rFonts w:ascii="Open Sans" w:eastAsia="Calibri" w:hAnsi="Open Sans" w:cs="Open Sans"/>
                <w:b/>
                <w:color w:val="365F91"/>
              </w:rPr>
              <w:t>target</w:t>
            </w:r>
            <w:proofErr w:type="spellEnd"/>
            <w:r w:rsidRPr="00C85533">
              <w:rPr>
                <w:rFonts w:ascii="Open Sans" w:eastAsia="Calibri" w:hAnsi="Open Sans" w:cs="Open Sans"/>
                <w:b/>
                <w:color w:val="365F91"/>
              </w:rPr>
              <w:t xml:space="preserve"> </w:t>
            </w:r>
            <w:proofErr w:type="spellStart"/>
            <w:r w:rsidRPr="00C85533">
              <w:rPr>
                <w:rFonts w:ascii="Open Sans" w:eastAsia="Calibri" w:hAnsi="Open Sans" w:cs="Open Sans"/>
                <w:b/>
                <w:color w:val="365F91"/>
              </w:rPr>
              <w:t>area</w:t>
            </w:r>
            <w:proofErr w:type="spellEnd"/>
            <w:r w:rsidRPr="00C85533">
              <w:rPr>
                <w:rFonts w:ascii="Open Sans" w:eastAsia="Calibri" w:hAnsi="Open Sans" w:cs="Open Sans"/>
                <w:b/>
                <w:color w:val="365F91"/>
              </w:rPr>
              <w:t xml:space="preserve"> / </w:t>
            </w:r>
            <w:proofErr w:type="spellStart"/>
            <w:r w:rsidRPr="00C85533">
              <w:rPr>
                <w:rFonts w:ascii="Open Sans" w:eastAsia="Calibri" w:hAnsi="Open Sans" w:cs="Open Sans"/>
                <w:b/>
                <w:color w:val="365F91"/>
              </w:rPr>
              <w:t>Danube</w:t>
            </w:r>
            <w:proofErr w:type="spellEnd"/>
            <w:r w:rsidRPr="00C85533">
              <w:rPr>
                <w:rFonts w:ascii="Open Sans" w:eastAsia="Calibri" w:hAnsi="Open Sans" w:cs="Open Sans"/>
                <w:b/>
                <w:color w:val="365F91"/>
              </w:rPr>
              <w:t xml:space="preserve"> </w:t>
            </w:r>
            <w:proofErr w:type="spellStart"/>
            <w:r w:rsidRPr="00C85533">
              <w:rPr>
                <w:rFonts w:ascii="Open Sans" w:eastAsia="Calibri" w:hAnsi="Open Sans" w:cs="Open Sans"/>
                <w:b/>
                <w:color w:val="365F91"/>
              </w:rPr>
              <w:t>Region</w:t>
            </w:r>
            <w:proofErr w:type="spellEnd"/>
            <w:r w:rsidRPr="00C85533">
              <w:rPr>
                <w:rFonts w:ascii="Open Sans" w:eastAsia="Calibri" w:hAnsi="Open Sans" w:cs="Open Sans"/>
                <w:b/>
                <w:color w:val="365F91"/>
              </w:rPr>
              <w:t xml:space="preserve">? </w:t>
            </w:r>
            <w:r w:rsidRPr="00C85533">
              <w:rPr>
                <w:rFonts w:ascii="Open Sans" w:eastAsia="Calibri" w:hAnsi="Open Sans" w:cs="Open Sans"/>
                <w:b/>
                <w:color w:val="365F91"/>
                <w:lang w:val="en-GB"/>
              </w:rPr>
              <w:t>(max. 1500 characters)</w:t>
            </w:r>
          </w:p>
        </w:tc>
      </w:tr>
      <w:tr w:rsidR="00C85533" w:rsidRPr="00C85533" w14:paraId="482B66B0" w14:textId="77777777" w:rsidTr="00C85533">
        <w:tc>
          <w:tcPr>
            <w:tcW w:w="9062" w:type="dxa"/>
          </w:tcPr>
          <w:p>
            <w:r>
              <w:t>The primary users are municipalities, local authorities, energy agencies, cooperatives, NGOs and community leaders establishing or scaling a renewable energy community, together with operating RECs and their managers. Using the ETMEC Community Advisor, they can self-assess their readiness across seven dimensions (including legal, technical, financial, governance and social), obtain a weighted readiness score with interactive charts, and export a structured report (PDF/Excel) to identify strengths, gaps and priorities. The benefit is better-informed, evidence-based preparation and decision-making and a transferable diagnostic framework available free of charge in any web browser. The parallel pilots showed concrete impact: advanced communities (Velenje, Neudörfl) used the tool to optimise solar surpluses, while rural communities (Šumavsko) identified the precise technical and legal gaps – e.g. smart metering and energy management systems – needed to reach readiness. The whole Danube Region benefits, as the tool can accelerate the green, decentralised energy transition across all 14 countries.</w:t>
            </w:r>
          </w:p>
        </w:tc>
      </w:tr>
      <w:tr w:rsidR="00C85533" w:rsidRPr="00C85533" w14:paraId="1C270D9A" w14:textId="77777777" w:rsidTr="00C85533">
        <w:tc>
          <w:tcPr>
            <w:tcW w:w="9062" w:type="dxa"/>
          </w:tcPr>
          <w:p w14:paraId="440F5B1C" w14:textId="77777777" w:rsidR="00C85533" w:rsidRPr="00C85533" w:rsidRDefault="00C85533" w:rsidP="00C85533">
            <w:pPr>
              <w:autoSpaceDE w:val="0"/>
              <w:autoSpaceDN w:val="0"/>
              <w:adjustRightInd w:val="0"/>
              <w:rPr>
                <w:rFonts w:ascii="Open Sans" w:eastAsia="Calibri" w:hAnsi="Open Sans" w:cs="Open Sans"/>
                <w:b/>
                <w:color w:val="365F91"/>
              </w:rPr>
            </w:pPr>
            <w:proofErr w:type="spellStart"/>
            <w:r w:rsidRPr="00C85533">
              <w:rPr>
                <w:rFonts w:ascii="Open Sans" w:eastAsia="Calibri" w:hAnsi="Open Sans" w:cs="Open Sans"/>
                <w:b/>
                <w:color w:val="365F91"/>
              </w:rPr>
              <w:t>How</w:t>
            </w:r>
            <w:proofErr w:type="spellEnd"/>
            <w:r w:rsidRPr="00C85533">
              <w:rPr>
                <w:rFonts w:ascii="Open Sans" w:eastAsia="Calibri" w:hAnsi="Open Sans" w:cs="Open Sans"/>
                <w:b/>
                <w:color w:val="365F91"/>
              </w:rPr>
              <w:t xml:space="preserve"> </w:t>
            </w:r>
            <w:proofErr w:type="spellStart"/>
            <w:r w:rsidRPr="00C85533">
              <w:rPr>
                <w:rFonts w:ascii="Open Sans" w:eastAsia="Calibri" w:hAnsi="Open Sans" w:cs="Open Sans"/>
                <w:b/>
                <w:color w:val="365F91"/>
              </w:rPr>
              <w:t>can</w:t>
            </w:r>
            <w:proofErr w:type="spellEnd"/>
            <w:r w:rsidRPr="00C85533">
              <w:rPr>
                <w:rFonts w:ascii="Open Sans" w:eastAsia="Calibri" w:hAnsi="Open Sans" w:cs="Open Sans"/>
                <w:b/>
                <w:color w:val="365F91"/>
              </w:rPr>
              <w:t xml:space="preserve"> </w:t>
            </w:r>
            <w:proofErr w:type="spellStart"/>
            <w:r w:rsidRPr="00C85533">
              <w:rPr>
                <w:rFonts w:ascii="Open Sans" w:eastAsia="Calibri" w:hAnsi="Open Sans" w:cs="Open Sans"/>
                <w:b/>
                <w:color w:val="365F91"/>
              </w:rPr>
              <w:t>the</w:t>
            </w:r>
            <w:proofErr w:type="spellEnd"/>
            <w:r w:rsidRPr="00C85533">
              <w:rPr>
                <w:rFonts w:ascii="Open Sans" w:eastAsia="Calibri" w:hAnsi="Open Sans" w:cs="Open Sans"/>
                <w:b/>
                <w:color w:val="365F91"/>
              </w:rPr>
              <w:t xml:space="preserve"> </w:t>
            </w:r>
            <w:proofErr w:type="spellStart"/>
            <w:r w:rsidRPr="00C85533">
              <w:rPr>
                <w:rFonts w:ascii="Open Sans" w:eastAsia="Calibri" w:hAnsi="Open Sans" w:cs="Open Sans"/>
                <w:b/>
                <w:color w:val="365F91"/>
              </w:rPr>
              <w:t>sustainability</w:t>
            </w:r>
            <w:proofErr w:type="spellEnd"/>
            <w:r w:rsidRPr="00C85533">
              <w:rPr>
                <w:rFonts w:ascii="Open Sans" w:eastAsia="Calibri" w:hAnsi="Open Sans" w:cs="Open Sans"/>
                <w:b/>
                <w:color w:val="365F91"/>
              </w:rPr>
              <w:t xml:space="preserve"> of </w:t>
            </w:r>
            <w:proofErr w:type="spellStart"/>
            <w:r w:rsidRPr="00C85533">
              <w:rPr>
                <w:rFonts w:ascii="Open Sans" w:eastAsia="Calibri" w:hAnsi="Open Sans" w:cs="Open Sans"/>
                <w:b/>
                <w:color w:val="365F91"/>
              </w:rPr>
              <w:t>the</w:t>
            </w:r>
            <w:proofErr w:type="spellEnd"/>
            <w:r w:rsidRPr="00C85533">
              <w:rPr>
                <w:rFonts w:ascii="Open Sans" w:eastAsia="Calibri" w:hAnsi="Open Sans" w:cs="Open Sans"/>
                <w:b/>
                <w:color w:val="365F91"/>
              </w:rPr>
              <w:t xml:space="preserve"> output be </w:t>
            </w:r>
            <w:proofErr w:type="spellStart"/>
            <w:r w:rsidRPr="00C85533">
              <w:rPr>
                <w:rFonts w:ascii="Open Sans" w:eastAsia="Calibri" w:hAnsi="Open Sans" w:cs="Open Sans"/>
                <w:b/>
                <w:color w:val="365F91"/>
              </w:rPr>
              <w:t>ensured</w:t>
            </w:r>
            <w:proofErr w:type="spellEnd"/>
            <w:r w:rsidRPr="00C85533">
              <w:rPr>
                <w:rFonts w:ascii="Open Sans" w:eastAsia="Calibri" w:hAnsi="Open Sans" w:cs="Open Sans"/>
                <w:b/>
                <w:color w:val="365F91"/>
              </w:rPr>
              <w:t xml:space="preserve"> and </w:t>
            </w:r>
            <w:proofErr w:type="spellStart"/>
            <w:r w:rsidRPr="00C85533">
              <w:rPr>
                <w:rFonts w:ascii="Open Sans" w:eastAsia="Calibri" w:hAnsi="Open Sans" w:cs="Open Sans"/>
                <w:b/>
                <w:color w:val="365F91"/>
              </w:rPr>
              <w:t>where</w:t>
            </w:r>
            <w:proofErr w:type="spellEnd"/>
            <w:r w:rsidRPr="00C85533">
              <w:rPr>
                <w:rFonts w:ascii="Open Sans" w:eastAsia="Calibri" w:hAnsi="Open Sans" w:cs="Open Sans"/>
                <w:b/>
                <w:color w:val="365F91"/>
              </w:rPr>
              <w:t xml:space="preserve"> and </w:t>
            </w:r>
            <w:proofErr w:type="spellStart"/>
            <w:r w:rsidRPr="00C85533">
              <w:rPr>
                <w:rFonts w:ascii="Open Sans" w:eastAsia="Calibri" w:hAnsi="Open Sans" w:cs="Open Sans"/>
                <w:b/>
                <w:color w:val="365F91"/>
              </w:rPr>
              <w:t>to</w:t>
            </w:r>
            <w:proofErr w:type="spellEnd"/>
            <w:r w:rsidRPr="00C85533">
              <w:rPr>
                <w:rFonts w:ascii="Open Sans" w:eastAsia="Calibri" w:hAnsi="Open Sans" w:cs="Open Sans"/>
                <w:b/>
                <w:color w:val="365F91"/>
              </w:rPr>
              <w:t xml:space="preserve"> </w:t>
            </w:r>
            <w:proofErr w:type="spellStart"/>
            <w:r w:rsidRPr="00C85533">
              <w:rPr>
                <w:rFonts w:ascii="Open Sans" w:eastAsia="Calibri" w:hAnsi="Open Sans" w:cs="Open Sans"/>
                <w:b/>
                <w:color w:val="365F91"/>
              </w:rPr>
              <w:t>whom</w:t>
            </w:r>
            <w:proofErr w:type="spellEnd"/>
            <w:r w:rsidRPr="00C85533">
              <w:rPr>
                <w:rFonts w:ascii="Open Sans" w:eastAsia="Calibri" w:hAnsi="Open Sans" w:cs="Open Sans"/>
                <w:b/>
                <w:color w:val="365F91"/>
              </w:rPr>
              <w:t xml:space="preserve"> i</w:t>
            </w:r>
            <w:proofErr w:type="spellStart"/>
            <w:r w:rsidRPr="00C85533">
              <w:rPr>
                <w:rFonts w:ascii="Open Sans" w:eastAsia="Calibri" w:hAnsi="Open Sans" w:cs="Open Sans"/>
                <w:b/>
                <w:color w:val="365F91"/>
              </w:rPr>
              <w:t>s it</w:t>
            </w:r>
            <w:proofErr w:type="spellEnd"/>
            <w:r w:rsidRPr="00C85533">
              <w:rPr>
                <w:rFonts w:ascii="Open Sans" w:eastAsia="Calibri" w:hAnsi="Open Sans" w:cs="Open Sans"/>
                <w:b/>
                <w:color w:val="365F91"/>
              </w:rPr>
              <w:t xml:space="preserve"> </w:t>
            </w:r>
            <w:proofErr w:type="spellStart"/>
            <w:r w:rsidRPr="00C85533">
              <w:rPr>
                <w:rFonts w:ascii="Open Sans" w:eastAsia="Calibri" w:hAnsi="Open Sans" w:cs="Open Sans"/>
                <w:b/>
                <w:color w:val="365F91"/>
              </w:rPr>
              <w:t>going</w:t>
            </w:r>
            <w:proofErr w:type="spellEnd"/>
            <w:r w:rsidRPr="00C85533">
              <w:rPr>
                <w:rFonts w:ascii="Open Sans" w:eastAsia="Calibri" w:hAnsi="Open Sans" w:cs="Open Sans"/>
                <w:b/>
                <w:color w:val="365F91"/>
              </w:rPr>
              <w:t xml:space="preserve"> </w:t>
            </w:r>
            <w:proofErr w:type="spellStart"/>
            <w:r w:rsidRPr="00C85533">
              <w:rPr>
                <w:rFonts w:ascii="Open Sans" w:eastAsia="Calibri" w:hAnsi="Open Sans" w:cs="Open Sans"/>
                <w:b/>
                <w:color w:val="365F91"/>
              </w:rPr>
              <w:t>to</w:t>
            </w:r>
            <w:proofErr w:type="spellEnd"/>
            <w:r w:rsidRPr="00C85533">
              <w:rPr>
                <w:rFonts w:ascii="Open Sans" w:eastAsia="Calibri" w:hAnsi="Open Sans" w:cs="Open Sans"/>
                <w:b/>
                <w:color w:val="365F91"/>
              </w:rPr>
              <w:t xml:space="preserve"> be </w:t>
            </w:r>
            <w:proofErr w:type="spellStart"/>
            <w:r w:rsidRPr="00C85533">
              <w:rPr>
                <w:rFonts w:ascii="Open Sans" w:eastAsia="Calibri" w:hAnsi="Open Sans" w:cs="Open Sans"/>
                <w:b/>
                <w:color w:val="365F91"/>
              </w:rPr>
              <w:t>transferred</w:t>
            </w:r>
            <w:proofErr w:type="spellEnd"/>
            <w:r w:rsidRPr="00C85533">
              <w:rPr>
                <w:rFonts w:ascii="Open Sans" w:eastAsia="Calibri" w:hAnsi="Open Sans" w:cs="Open Sans"/>
                <w:b/>
                <w:color w:val="365F91"/>
              </w:rPr>
              <w:t xml:space="preserve">? </w:t>
            </w:r>
            <w:r w:rsidRPr="00C85533">
              <w:rPr>
                <w:rFonts w:ascii="Open Sans" w:eastAsia="Calibri" w:hAnsi="Open Sans" w:cs="Open Sans"/>
                <w:b/>
                <w:color w:val="365F91"/>
                <w:lang w:val="en-GB"/>
              </w:rPr>
              <w:t>(max. 1500 characters)</w:t>
            </w:r>
          </w:p>
        </w:tc>
      </w:tr>
      <w:tr w:rsidR="00C85533" w:rsidRPr="00C85533" w14:paraId="6A7AEECC" w14:textId="77777777" w:rsidTr="00C85533">
        <w:tc>
          <w:tcPr>
            <w:tcW w:w="9062" w:type="dxa"/>
          </w:tcPr>
          <w:p>
            <w:r>
              <w:t>The ETMEC Community Advisor is maintained and operated by project partner NEK (Slovakia), which will continue to run and further develop it beyond the project lifetime; a more advanced version with additional system-level and energy-sharing data is already in preparation. The tool is provided as open source, free of charge and without licensing restrictions; it runs in any web browser (including macOS), requires no installation or server and works offline after the first download. It is available to all partners and pilot communities and, as part of the capitalisation of project results and in line with programme conditions, to third parties beyond the partnership. The readiness methodology and good practices are transferable to other energy communities, regions and sectors across the Danube Region and beyond, and are disseminated through the project White Paper (O3.3) and the NRGCOM channels. The application and its comprehensive user manual are publicly downloadable via shared links and are provided in this package, together with the updated D.3.3.1 deliverable.</w:t>
            </w:r>
          </w:p>
        </w:tc>
      </w:tr>
    </w:tbl>
    <w:p w14:paraId="2B95DFE6" w14:textId="58171E86" w:rsidR="00BE179E" w:rsidRDefault="00BE179E" w:rsidP="001E06D5"/>
    <w:sectPr w:rsidR="00BE179E" w:rsidSect="00230D8A">
      <w:headerReference w:type="default" r:id="rId8"/>
      <w:footerReference w:type="default" r:id="rId9"/>
      <w:pgSz w:w="11906" w:h="16838"/>
      <w:pgMar w:top="1906"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23F8EE" w14:textId="77777777" w:rsidR="009D0DBA" w:rsidRDefault="009D0DBA" w:rsidP="00C315C9">
      <w:pPr>
        <w:spacing w:after="0" w:line="240" w:lineRule="auto"/>
      </w:pPr>
      <w:r>
        <w:separator/>
      </w:r>
    </w:p>
  </w:endnote>
  <w:endnote w:type="continuationSeparator" w:id="0">
    <w:p w14:paraId="1F23FF6D" w14:textId="77777777" w:rsidR="009D0DBA" w:rsidRDefault="009D0DBA" w:rsidP="00C315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Open Sans">
    <w:panose1 w:val="020B0606030504020204"/>
    <w:charset w:val="00"/>
    <w:family w:val="swiss"/>
    <w:pitch w:val="variable"/>
    <w:sig w:usb0="E00002EF" w:usb1="4000205B" w:usb2="00000028"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lostrnky"/>
      </w:rPr>
      <w:id w:val="217629262"/>
      <w:docPartObj>
        <w:docPartGallery w:val="Page Numbers (Bottom of Page)"/>
        <w:docPartUnique/>
      </w:docPartObj>
    </w:sdtPr>
    <w:sdtContent>
      <w:p w14:paraId="466B62C0" w14:textId="77777777" w:rsidR="006653A1" w:rsidRDefault="006653A1" w:rsidP="00230D8A">
        <w:pPr>
          <w:pStyle w:val="Zpat"/>
          <w:framePr w:wrap="none" w:vAnchor="text" w:hAnchor="page" w:x="10283" w:y="20"/>
          <w:rPr>
            <w:rStyle w:val="slostrnky"/>
          </w:rPr>
        </w:pPr>
        <w:r>
          <w:rPr>
            <w:rStyle w:val="slostrnky"/>
          </w:rPr>
          <w:fldChar w:fldCharType="begin"/>
        </w:r>
        <w:r>
          <w:rPr>
            <w:rStyle w:val="slostrnky"/>
          </w:rPr>
          <w:instrText xml:space="preserve"> PAGE </w:instrText>
        </w:r>
        <w:r>
          <w:rPr>
            <w:rStyle w:val="slostrnky"/>
          </w:rPr>
          <w:fldChar w:fldCharType="separate"/>
        </w:r>
        <w:r>
          <w:rPr>
            <w:rStyle w:val="slostrnky"/>
            <w:noProof/>
          </w:rPr>
          <w:t>1</w:t>
        </w:r>
        <w:r>
          <w:rPr>
            <w:rStyle w:val="slostrnky"/>
          </w:rPr>
          <w:fldChar w:fldCharType="end"/>
        </w:r>
      </w:p>
    </w:sdtContent>
  </w:sdt>
  <w:p w14:paraId="20B83DA3" w14:textId="77777777" w:rsidR="006653A1" w:rsidRDefault="006653A1" w:rsidP="00C315C9">
    <w:pPr>
      <w:pStyle w:val="Zp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4876F2" w14:textId="77777777" w:rsidR="009D0DBA" w:rsidRDefault="009D0DBA" w:rsidP="00C315C9">
      <w:pPr>
        <w:spacing w:after="0" w:line="240" w:lineRule="auto"/>
      </w:pPr>
      <w:r>
        <w:separator/>
      </w:r>
    </w:p>
  </w:footnote>
  <w:footnote w:type="continuationSeparator" w:id="0">
    <w:p w14:paraId="11CA7BD9" w14:textId="77777777" w:rsidR="009D0DBA" w:rsidRDefault="009D0DBA" w:rsidP="00C315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D7840" w14:textId="77777777" w:rsidR="006653A1" w:rsidRDefault="006653A1">
    <w:pPr>
      <w:pStyle w:val="Zhlav"/>
    </w:pPr>
    <w:r w:rsidRPr="00EE4561">
      <w:rPr>
        <w:noProof/>
        <w:sz w:val="20"/>
        <w:szCs w:val="20"/>
      </w:rPr>
      <w:drawing>
        <wp:anchor distT="0" distB="0" distL="114300" distR="114300" simplePos="0" relativeHeight="251661312" behindDoc="0" locked="0" layoutInCell="1" allowOverlap="1" wp14:anchorId="787B1513" wp14:editId="24E47456">
          <wp:simplePos x="0" y="0"/>
          <wp:positionH relativeFrom="margin">
            <wp:posOffset>1905</wp:posOffset>
          </wp:positionH>
          <wp:positionV relativeFrom="paragraph">
            <wp:posOffset>-81280</wp:posOffset>
          </wp:positionV>
          <wp:extent cx="2743200" cy="722630"/>
          <wp:effectExtent l="0" t="0" r="0" b="1270"/>
          <wp:wrapThrough wrapText="bothSides">
            <wp:wrapPolygon edited="0">
              <wp:start x="0" y="0"/>
              <wp:lineTo x="0" y="8731"/>
              <wp:lineTo x="10800" y="12148"/>
              <wp:lineTo x="0" y="13286"/>
              <wp:lineTo x="0" y="21258"/>
              <wp:lineTo x="3900" y="21258"/>
              <wp:lineTo x="10800" y="18221"/>
              <wp:lineTo x="10800" y="12148"/>
              <wp:lineTo x="21500" y="8351"/>
              <wp:lineTo x="21500" y="1518"/>
              <wp:lineTo x="13800" y="0"/>
              <wp:lineTo x="0" y="0"/>
            </wp:wrapPolygon>
          </wp:wrapThrough>
          <wp:docPr id="1905510964" name="Kép 8" descr="Obsah obrázku text, snímek obrazovky, Písmo, Grafika&#10;&#10;Obsah generovaný pomocí AI může být nesprávn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9215301" name="Kép 8" descr="Obsah obrázku text, snímek obrazovky, Písmo, Grafika&#10;&#10;Obsah generovaný pomocí AI může být nesprávný."/>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743200" cy="72263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663B4"/>
    <w:multiLevelType w:val="multilevel"/>
    <w:tmpl w:val="89B8C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F35457"/>
    <w:multiLevelType w:val="multilevel"/>
    <w:tmpl w:val="8BE65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99F7369"/>
    <w:multiLevelType w:val="multilevel"/>
    <w:tmpl w:val="A9941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5250B4"/>
    <w:multiLevelType w:val="multilevel"/>
    <w:tmpl w:val="B52623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33E160A"/>
    <w:multiLevelType w:val="multilevel"/>
    <w:tmpl w:val="63C63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78A5E93"/>
    <w:multiLevelType w:val="multilevel"/>
    <w:tmpl w:val="ED64A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A5B7FF5"/>
    <w:multiLevelType w:val="multilevel"/>
    <w:tmpl w:val="7CB47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7D55CC7"/>
    <w:multiLevelType w:val="multilevel"/>
    <w:tmpl w:val="26B087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E0D734B"/>
    <w:multiLevelType w:val="hybridMultilevel"/>
    <w:tmpl w:val="88A2514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60974E52"/>
    <w:multiLevelType w:val="multilevel"/>
    <w:tmpl w:val="C7BE4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16061D6"/>
    <w:multiLevelType w:val="multilevel"/>
    <w:tmpl w:val="1DF45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68C56F2"/>
    <w:multiLevelType w:val="multilevel"/>
    <w:tmpl w:val="97A4D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D6F04A3"/>
    <w:multiLevelType w:val="multilevel"/>
    <w:tmpl w:val="037CE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EB571F9"/>
    <w:multiLevelType w:val="multilevel"/>
    <w:tmpl w:val="6F2C77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1BE5D3F"/>
    <w:multiLevelType w:val="multilevel"/>
    <w:tmpl w:val="24C05B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4511A97"/>
    <w:multiLevelType w:val="multilevel"/>
    <w:tmpl w:val="6C8ED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D520C09"/>
    <w:multiLevelType w:val="multilevel"/>
    <w:tmpl w:val="EB860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38057274">
    <w:abstractNumId w:val="9"/>
  </w:num>
  <w:num w:numId="2" w16cid:durableId="431166322">
    <w:abstractNumId w:val="2"/>
  </w:num>
  <w:num w:numId="3" w16cid:durableId="1115095719">
    <w:abstractNumId w:val="14"/>
  </w:num>
  <w:num w:numId="4" w16cid:durableId="1916282279">
    <w:abstractNumId w:val="12"/>
  </w:num>
  <w:num w:numId="5" w16cid:durableId="1639190075">
    <w:abstractNumId w:val="7"/>
  </w:num>
  <w:num w:numId="6" w16cid:durableId="551232953">
    <w:abstractNumId w:val="10"/>
  </w:num>
  <w:num w:numId="7" w16cid:durableId="1951358661">
    <w:abstractNumId w:val="13"/>
  </w:num>
  <w:num w:numId="8" w16cid:durableId="1714766958">
    <w:abstractNumId w:val="16"/>
  </w:num>
  <w:num w:numId="9" w16cid:durableId="492260026">
    <w:abstractNumId w:val="11"/>
  </w:num>
  <w:num w:numId="10" w16cid:durableId="1840196351">
    <w:abstractNumId w:val="0"/>
  </w:num>
  <w:num w:numId="11" w16cid:durableId="2113426565">
    <w:abstractNumId w:val="4"/>
  </w:num>
  <w:num w:numId="12" w16cid:durableId="1974670545">
    <w:abstractNumId w:val="1"/>
  </w:num>
  <w:num w:numId="13" w16cid:durableId="960379571">
    <w:abstractNumId w:val="15"/>
  </w:num>
  <w:num w:numId="14" w16cid:durableId="173351018">
    <w:abstractNumId w:val="3"/>
  </w:num>
  <w:num w:numId="15" w16cid:durableId="504514769">
    <w:abstractNumId w:val="5"/>
  </w:num>
  <w:num w:numId="16" w16cid:durableId="394512">
    <w:abstractNumId w:val="6"/>
  </w:num>
  <w:num w:numId="17" w16cid:durableId="2928349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79E"/>
    <w:rsid w:val="0004739A"/>
    <w:rsid w:val="00056643"/>
    <w:rsid w:val="00120CD9"/>
    <w:rsid w:val="001C641A"/>
    <w:rsid w:val="001E06D5"/>
    <w:rsid w:val="001E3BA7"/>
    <w:rsid w:val="00230D8A"/>
    <w:rsid w:val="002B2558"/>
    <w:rsid w:val="002B712B"/>
    <w:rsid w:val="003B3E09"/>
    <w:rsid w:val="003D0A40"/>
    <w:rsid w:val="004266A0"/>
    <w:rsid w:val="00476CEC"/>
    <w:rsid w:val="00595F7F"/>
    <w:rsid w:val="005A2AC1"/>
    <w:rsid w:val="005B20E6"/>
    <w:rsid w:val="005D0AF5"/>
    <w:rsid w:val="006254CB"/>
    <w:rsid w:val="00652FD6"/>
    <w:rsid w:val="006653A1"/>
    <w:rsid w:val="0068794E"/>
    <w:rsid w:val="006933D2"/>
    <w:rsid w:val="00770BF3"/>
    <w:rsid w:val="00865D70"/>
    <w:rsid w:val="0093702D"/>
    <w:rsid w:val="009A6426"/>
    <w:rsid w:val="009D0DBA"/>
    <w:rsid w:val="00A92052"/>
    <w:rsid w:val="00B62856"/>
    <w:rsid w:val="00BE1355"/>
    <w:rsid w:val="00BE179E"/>
    <w:rsid w:val="00C00FD3"/>
    <w:rsid w:val="00C10C91"/>
    <w:rsid w:val="00C315C9"/>
    <w:rsid w:val="00C3525E"/>
    <w:rsid w:val="00C62673"/>
    <w:rsid w:val="00C85533"/>
    <w:rsid w:val="00E44689"/>
    <w:rsid w:val="00EB0C24"/>
    <w:rsid w:val="00EC19F4"/>
    <w:rsid w:val="00EE778D"/>
    <w:rsid w:val="00EF684D"/>
    <w:rsid w:val="00F8663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A5DA34"/>
  <w15:chartTrackingRefBased/>
  <w15:docId w15:val="{5B3A1295-1AD9-4898-86E3-DE8EC3BB7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EB0C24"/>
  </w:style>
  <w:style w:type="paragraph" w:styleId="Nadpis1">
    <w:name w:val="heading 1"/>
    <w:basedOn w:val="Normln"/>
    <w:next w:val="Normln"/>
    <w:link w:val="Nadpis1Char"/>
    <w:autoRedefine/>
    <w:uiPriority w:val="9"/>
    <w:qFormat/>
    <w:rsid w:val="00230D8A"/>
    <w:pPr>
      <w:keepNext/>
      <w:keepLines/>
      <w:spacing w:before="240" w:after="240" w:line="276" w:lineRule="auto"/>
      <w:outlineLvl w:val="0"/>
    </w:pPr>
    <w:rPr>
      <w:rFonts w:ascii="Open Sans" w:eastAsiaTheme="majorEastAsia" w:hAnsi="Open Sans" w:cs="Open Sans"/>
      <w:b/>
      <w:color w:val="003399"/>
      <w:sz w:val="56"/>
      <w:lang w:val="en-GB"/>
    </w:rPr>
  </w:style>
  <w:style w:type="paragraph" w:styleId="Nadpis2">
    <w:name w:val="heading 2"/>
    <w:basedOn w:val="Normln"/>
    <w:next w:val="Normln"/>
    <w:link w:val="Nadpis2Char"/>
    <w:uiPriority w:val="9"/>
    <w:semiHidden/>
    <w:unhideWhenUsed/>
    <w:qFormat/>
    <w:rsid w:val="00BE179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unhideWhenUsed/>
    <w:qFormat/>
    <w:rsid w:val="00BE179E"/>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unhideWhenUsed/>
    <w:qFormat/>
    <w:rsid w:val="00BE179E"/>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BE179E"/>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BE179E"/>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BE179E"/>
    <w:pPr>
      <w:keepNext/>
      <w:keepLines/>
      <w:spacing w:before="40" w:after="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BE179E"/>
    <w:pPr>
      <w:keepNext/>
      <w:keepLines/>
      <w:spacing w:after="0"/>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BE179E"/>
    <w:pPr>
      <w:keepNext/>
      <w:keepLines/>
      <w:spacing w:after="0"/>
      <w:outlineLvl w:val="8"/>
    </w:pPr>
    <w:rPr>
      <w:rFonts w:eastAsiaTheme="majorEastAsia" w:cstheme="majorBidi"/>
      <w:color w:val="272727" w:themeColor="text1" w:themeTint="D8"/>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230D8A"/>
    <w:rPr>
      <w:rFonts w:ascii="Open Sans" w:eastAsiaTheme="majorEastAsia" w:hAnsi="Open Sans" w:cs="Open Sans"/>
      <w:b/>
      <w:color w:val="003399"/>
      <w:sz w:val="56"/>
      <w:lang w:val="en-GB"/>
    </w:rPr>
  </w:style>
  <w:style w:type="character" w:customStyle="1" w:styleId="Nadpis2Char">
    <w:name w:val="Nadpis 2 Char"/>
    <w:basedOn w:val="Standardnpsmoodstavce"/>
    <w:link w:val="Nadpis2"/>
    <w:uiPriority w:val="9"/>
    <w:semiHidden/>
    <w:rsid w:val="00BE179E"/>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rsid w:val="00BE179E"/>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rsid w:val="00BE179E"/>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BE179E"/>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BE179E"/>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BE179E"/>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BE179E"/>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BE179E"/>
    <w:rPr>
      <w:rFonts w:eastAsiaTheme="majorEastAsia" w:cstheme="majorBidi"/>
      <w:color w:val="272727" w:themeColor="text1" w:themeTint="D8"/>
    </w:rPr>
  </w:style>
  <w:style w:type="paragraph" w:styleId="Nzev">
    <w:name w:val="Title"/>
    <w:basedOn w:val="Normln"/>
    <w:next w:val="Normln"/>
    <w:link w:val="NzevChar"/>
    <w:uiPriority w:val="10"/>
    <w:qFormat/>
    <w:rsid w:val="00BE179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BE179E"/>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BE179E"/>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BE179E"/>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BE179E"/>
    <w:pPr>
      <w:spacing w:before="160"/>
      <w:jc w:val="center"/>
    </w:pPr>
    <w:rPr>
      <w:i/>
      <w:iCs/>
      <w:color w:val="404040" w:themeColor="text1" w:themeTint="BF"/>
    </w:rPr>
  </w:style>
  <w:style w:type="character" w:customStyle="1" w:styleId="CittChar">
    <w:name w:val="Citát Char"/>
    <w:basedOn w:val="Standardnpsmoodstavce"/>
    <w:link w:val="Citt"/>
    <w:uiPriority w:val="29"/>
    <w:rsid w:val="00BE179E"/>
    <w:rPr>
      <w:i/>
      <w:iCs/>
      <w:color w:val="404040" w:themeColor="text1" w:themeTint="BF"/>
    </w:rPr>
  </w:style>
  <w:style w:type="paragraph" w:styleId="Odstavecseseznamem">
    <w:name w:val="List Paragraph"/>
    <w:basedOn w:val="Normln"/>
    <w:uiPriority w:val="34"/>
    <w:qFormat/>
    <w:rsid w:val="00BE179E"/>
    <w:pPr>
      <w:ind w:left="720"/>
      <w:contextualSpacing/>
    </w:pPr>
  </w:style>
  <w:style w:type="character" w:styleId="Zdraznnintenzivn">
    <w:name w:val="Intense Emphasis"/>
    <w:basedOn w:val="Standardnpsmoodstavce"/>
    <w:uiPriority w:val="21"/>
    <w:qFormat/>
    <w:rsid w:val="00BE179E"/>
    <w:rPr>
      <w:i/>
      <w:iCs/>
      <w:color w:val="0F4761" w:themeColor="accent1" w:themeShade="BF"/>
    </w:rPr>
  </w:style>
  <w:style w:type="paragraph" w:styleId="Vrazncitt">
    <w:name w:val="Intense Quote"/>
    <w:basedOn w:val="Normln"/>
    <w:next w:val="Normln"/>
    <w:link w:val="VrazncittChar"/>
    <w:uiPriority w:val="30"/>
    <w:qFormat/>
    <w:rsid w:val="00BE179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BE179E"/>
    <w:rPr>
      <w:i/>
      <w:iCs/>
      <w:color w:val="0F4761" w:themeColor="accent1" w:themeShade="BF"/>
    </w:rPr>
  </w:style>
  <w:style w:type="character" w:styleId="Odkazintenzivn">
    <w:name w:val="Intense Reference"/>
    <w:basedOn w:val="Standardnpsmoodstavce"/>
    <w:uiPriority w:val="32"/>
    <w:qFormat/>
    <w:rsid w:val="00BE179E"/>
    <w:rPr>
      <w:b/>
      <w:bCs/>
      <w:smallCaps/>
      <w:color w:val="0F4761" w:themeColor="accent1" w:themeShade="BF"/>
      <w:spacing w:val="5"/>
    </w:rPr>
  </w:style>
  <w:style w:type="paragraph" w:customStyle="1" w:styleId="Subtitle1">
    <w:name w:val="Subtitle1"/>
    <w:basedOn w:val="Normln"/>
    <w:link w:val="Subtitle1Char"/>
    <w:qFormat/>
    <w:rsid w:val="001E06D5"/>
    <w:pPr>
      <w:spacing w:line="480" w:lineRule="exact"/>
    </w:pPr>
    <w:rPr>
      <w:rFonts w:ascii="Open Sans" w:hAnsi="Open Sans" w:cs="Open Sans"/>
      <w:color w:val="003399"/>
      <w:kern w:val="0"/>
      <w:sz w:val="40"/>
      <w:szCs w:val="40"/>
      <w:lang w:val="en-GB"/>
    </w:rPr>
  </w:style>
  <w:style w:type="character" w:customStyle="1" w:styleId="Subtitle1Char">
    <w:name w:val="Subtitle1 Char"/>
    <w:basedOn w:val="Standardnpsmoodstavce"/>
    <w:link w:val="Subtitle1"/>
    <w:rsid w:val="001E06D5"/>
    <w:rPr>
      <w:rFonts w:ascii="Open Sans" w:hAnsi="Open Sans" w:cs="Open Sans"/>
      <w:color w:val="003399"/>
      <w:kern w:val="0"/>
      <w:sz w:val="40"/>
      <w:szCs w:val="40"/>
      <w:lang w:val="en-GB"/>
    </w:rPr>
  </w:style>
  <w:style w:type="paragraph" w:customStyle="1" w:styleId="Title1">
    <w:name w:val="Title1"/>
    <w:basedOn w:val="Normln"/>
    <w:link w:val="Title1Char"/>
    <w:qFormat/>
    <w:rsid w:val="001E06D5"/>
    <w:pPr>
      <w:spacing w:after="0" w:line="1320" w:lineRule="exact"/>
    </w:pPr>
    <w:rPr>
      <w:rFonts w:ascii="Open Sans" w:hAnsi="Open Sans" w:cs="Open Sans"/>
      <w:b/>
      <w:bCs/>
      <w:color w:val="003399"/>
      <w:kern w:val="0"/>
      <w:sz w:val="120"/>
      <w:szCs w:val="120"/>
      <w:lang w:val="en-GB"/>
    </w:rPr>
  </w:style>
  <w:style w:type="character" w:customStyle="1" w:styleId="Title1Char">
    <w:name w:val="Title1 Char"/>
    <w:basedOn w:val="Standardnpsmoodstavce"/>
    <w:link w:val="Title1"/>
    <w:rsid w:val="001E06D5"/>
    <w:rPr>
      <w:rFonts w:ascii="Open Sans" w:hAnsi="Open Sans" w:cs="Open Sans"/>
      <w:b/>
      <w:bCs/>
      <w:color w:val="003399"/>
      <w:kern w:val="0"/>
      <w:sz w:val="120"/>
      <w:szCs w:val="120"/>
      <w:lang w:val="en-GB"/>
    </w:rPr>
  </w:style>
  <w:style w:type="paragraph" w:customStyle="1" w:styleId="p1">
    <w:name w:val="p1"/>
    <w:basedOn w:val="Normln"/>
    <w:rsid w:val="001E06D5"/>
    <w:pPr>
      <w:spacing w:before="100" w:beforeAutospacing="1" w:after="100" w:afterAutospacing="1" w:line="240" w:lineRule="auto"/>
    </w:pPr>
    <w:rPr>
      <w:rFonts w:ascii="Times New Roman" w:eastAsia="Times New Roman" w:hAnsi="Times New Roman" w:cs="Times New Roman"/>
      <w:kern w:val="0"/>
      <w:sz w:val="24"/>
      <w:szCs w:val="24"/>
      <w:lang w:eastAsia="cs-CZ"/>
      <w14:ligatures w14:val="none"/>
    </w:rPr>
  </w:style>
  <w:style w:type="character" w:customStyle="1" w:styleId="s1">
    <w:name w:val="s1"/>
    <w:basedOn w:val="Standardnpsmoodstavce"/>
    <w:rsid w:val="001E06D5"/>
  </w:style>
  <w:style w:type="paragraph" w:customStyle="1" w:styleId="p2">
    <w:name w:val="p2"/>
    <w:basedOn w:val="Normln"/>
    <w:rsid w:val="001E06D5"/>
    <w:pPr>
      <w:spacing w:before="100" w:beforeAutospacing="1" w:after="100" w:afterAutospacing="1" w:line="240" w:lineRule="auto"/>
    </w:pPr>
    <w:rPr>
      <w:rFonts w:ascii="Times New Roman" w:eastAsia="Times New Roman" w:hAnsi="Times New Roman" w:cs="Times New Roman"/>
      <w:kern w:val="0"/>
      <w:sz w:val="24"/>
      <w:szCs w:val="24"/>
      <w:lang w:eastAsia="cs-CZ"/>
      <w14:ligatures w14:val="none"/>
    </w:rPr>
  </w:style>
  <w:style w:type="paragraph" w:customStyle="1" w:styleId="p3">
    <w:name w:val="p3"/>
    <w:basedOn w:val="Normln"/>
    <w:rsid w:val="001E06D5"/>
    <w:pPr>
      <w:spacing w:before="100" w:beforeAutospacing="1" w:after="100" w:afterAutospacing="1" w:line="240" w:lineRule="auto"/>
    </w:pPr>
    <w:rPr>
      <w:rFonts w:ascii="Times New Roman" w:eastAsia="Times New Roman" w:hAnsi="Times New Roman" w:cs="Times New Roman"/>
      <w:kern w:val="0"/>
      <w:sz w:val="24"/>
      <w:szCs w:val="24"/>
      <w:lang w:eastAsia="cs-CZ"/>
      <w14:ligatures w14:val="none"/>
    </w:rPr>
  </w:style>
  <w:style w:type="character" w:customStyle="1" w:styleId="s2">
    <w:name w:val="s2"/>
    <w:basedOn w:val="Standardnpsmoodstavce"/>
    <w:rsid w:val="001E06D5"/>
  </w:style>
  <w:style w:type="table" w:styleId="Svtltabulkasmkou1zvraznn1">
    <w:name w:val="Grid Table 1 Light Accent 1"/>
    <w:basedOn w:val="Normlntabulka"/>
    <w:uiPriority w:val="46"/>
    <w:rsid w:val="006933D2"/>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table" w:styleId="Svtltabulkasmkou1zvraznn2">
    <w:name w:val="Grid Table 1 Light Accent 2"/>
    <w:basedOn w:val="Normlntabulka"/>
    <w:uiPriority w:val="46"/>
    <w:rsid w:val="006933D2"/>
    <w:pPr>
      <w:spacing w:after="0" w:line="240" w:lineRule="auto"/>
    </w:pPr>
    <w:tblPr>
      <w:tblStyleRowBandSize w:val="1"/>
      <w:tblStyleColBandSize w:val="1"/>
      <w:tblBorders>
        <w:top w:val="single" w:sz="4" w:space="0" w:color="F6C5AC" w:themeColor="accent2" w:themeTint="66"/>
        <w:left w:val="single" w:sz="4" w:space="0" w:color="F6C5AC" w:themeColor="accent2" w:themeTint="66"/>
        <w:bottom w:val="single" w:sz="4" w:space="0" w:color="F6C5AC" w:themeColor="accent2" w:themeTint="66"/>
        <w:right w:val="single" w:sz="4" w:space="0" w:color="F6C5AC" w:themeColor="accent2" w:themeTint="66"/>
        <w:insideH w:val="single" w:sz="4" w:space="0" w:color="F6C5AC" w:themeColor="accent2" w:themeTint="66"/>
        <w:insideV w:val="single" w:sz="4" w:space="0" w:color="F6C5AC" w:themeColor="accent2" w:themeTint="66"/>
      </w:tblBorders>
    </w:tblPr>
    <w:tblStylePr w:type="firstRow">
      <w:rPr>
        <w:b/>
        <w:bCs/>
      </w:rPr>
      <w:tblPr/>
      <w:tcPr>
        <w:tcBorders>
          <w:bottom w:val="single" w:sz="12" w:space="0" w:color="F1A983" w:themeColor="accent2" w:themeTint="99"/>
        </w:tcBorders>
      </w:tcPr>
    </w:tblStylePr>
    <w:tblStylePr w:type="lastRow">
      <w:rPr>
        <w:b/>
        <w:bCs/>
      </w:rPr>
      <w:tblPr/>
      <w:tcPr>
        <w:tcBorders>
          <w:top w:val="double" w:sz="2" w:space="0" w:color="F1A983" w:themeColor="accent2" w:themeTint="99"/>
        </w:tcBorders>
      </w:tcPr>
    </w:tblStylePr>
    <w:tblStylePr w:type="firstCol">
      <w:rPr>
        <w:b/>
        <w:bCs/>
      </w:rPr>
    </w:tblStylePr>
    <w:tblStylePr w:type="lastCol">
      <w:rPr>
        <w:b/>
        <w:bCs/>
      </w:rPr>
    </w:tblStylePr>
  </w:style>
  <w:style w:type="table" w:styleId="Tabulkasmkou4zvraznn6">
    <w:name w:val="Grid Table 4 Accent 6"/>
    <w:basedOn w:val="Normlntabulka"/>
    <w:uiPriority w:val="49"/>
    <w:rsid w:val="006933D2"/>
    <w:pPr>
      <w:spacing w:after="0" w:line="240" w:lineRule="auto"/>
    </w:p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color w:val="FFFFFF" w:themeColor="background1"/>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insideH w:val="nil"/>
          <w:insideV w:val="nil"/>
        </w:tcBorders>
        <w:shd w:val="clear" w:color="auto" w:fill="4EA72E" w:themeFill="accent6"/>
      </w:tcPr>
    </w:tblStylePr>
    <w:tblStylePr w:type="lastRow">
      <w:rPr>
        <w:b/>
        <w:bCs/>
      </w:rPr>
      <w:tblPr/>
      <w:tcPr>
        <w:tcBorders>
          <w:top w:val="double" w:sz="4" w:space="0" w:color="4EA72E" w:themeColor="accent6"/>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Tabulkasmkou4zvraznn1">
    <w:name w:val="Grid Table 4 Accent 1"/>
    <w:basedOn w:val="Normlntabulka"/>
    <w:uiPriority w:val="49"/>
    <w:rsid w:val="006933D2"/>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Tabulkasmkou4">
    <w:name w:val="Grid Table 4"/>
    <w:basedOn w:val="Normlntabulka"/>
    <w:uiPriority w:val="49"/>
    <w:rsid w:val="006933D2"/>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ulkaseznamu4zvraznn6">
    <w:name w:val="List Table 4 Accent 6"/>
    <w:basedOn w:val="Normlntabulka"/>
    <w:uiPriority w:val="49"/>
    <w:rsid w:val="006933D2"/>
    <w:pPr>
      <w:spacing w:after="0" w:line="240" w:lineRule="auto"/>
    </w:p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tblBorders>
    </w:tblPr>
    <w:tblStylePr w:type="firstRow">
      <w:rPr>
        <w:b/>
        <w:bCs/>
        <w:color w:val="FFFFFF" w:themeColor="background1"/>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insideH w:val="nil"/>
        </w:tcBorders>
        <w:shd w:val="clear" w:color="auto" w:fill="4EA72E" w:themeFill="accent6"/>
      </w:tcPr>
    </w:tblStylePr>
    <w:tblStylePr w:type="lastRow">
      <w:rPr>
        <w:b/>
        <w:bCs/>
      </w:rPr>
      <w:tblPr/>
      <w:tcPr>
        <w:tcBorders>
          <w:top w:val="double" w:sz="4" w:space="0" w:color="8DD873" w:themeColor="accent6" w:themeTint="99"/>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Tabulkaseznamu4zvraznn3">
    <w:name w:val="List Table 4 Accent 3"/>
    <w:basedOn w:val="Normlntabulka"/>
    <w:uiPriority w:val="49"/>
    <w:rsid w:val="006933D2"/>
    <w:pPr>
      <w:spacing w:after="0" w:line="240" w:lineRule="auto"/>
    </w:p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tblBorders>
    </w:tblPr>
    <w:tblStylePr w:type="firstRow">
      <w:rPr>
        <w:b/>
        <w:bCs/>
        <w:color w:val="FFFFFF" w:themeColor="background1"/>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insideH w:val="nil"/>
        </w:tcBorders>
        <w:shd w:val="clear" w:color="auto" w:fill="196B24" w:themeFill="accent3"/>
      </w:tcPr>
    </w:tblStylePr>
    <w:tblStylePr w:type="lastRow">
      <w:rPr>
        <w:b/>
        <w:bCs/>
      </w:rPr>
      <w:tblPr/>
      <w:tcPr>
        <w:tcBorders>
          <w:top w:val="double" w:sz="4" w:space="0" w:color="47D459" w:themeColor="accent3" w:themeTint="99"/>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Tabulkaseznamu3zvraznn6">
    <w:name w:val="List Table 3 Accent 6"/>
    <w:basedOn w:val="Normlntabulka"/>
    <w:uiPriority w:val="48"/>
    <w:rsid w:val="006933D2"/>
    <w:pPr>
      <w:spacing w:after="0" w:line="240" w:lineRule="auto"/>
    </w:pPr>
    <w:tblPr>
      <w:tblStyleRowBandSize w:val="1"/>
      <w:tblStyleColBandSize w:val="1"/>
      <w:tblBorders>
        <w:top w:val="single" w:sz="4" w:space="0" w:color="4EA72E" w:themeColor="accent6"/>
        <w:left w:val="single" w:sz="4" w:space="0" w:color="4EA72E" w:themeColor="accent6"/>
        <w:bottom w:val="single" w:sz="4" w:space="0" w:color="4EA72E" w:themeColor="accent6"/>
        <w:right w:val="single" w:sz="4" w:space="0" w:color="4EA72E" w:themeColor="accent6"/>
      </w:tblBorders>
    </w:tblPr>
    <w:tblStylePr w:type="firstRow">
      <w:rPr>
        <w:b/>
        <w:bCs/>
        <w:color w:val="FFFFFF" w:themeColor="background1"/>
      </w:rPr>
      <w:tblPr/>
      <w:tcPr>
        <w:shd w:val="clear" w:color="auto" w:fill="4EA72E" w:themeFill="accent6"/>
      </w:tcPr>
    </w:tblStylePr>
    <w:tblStylePr w:type="lastRow">
      <w:rPr>
        <w:b/>
        <w:bCs/>
      </w:rPr>
      <w:tblPr/>
      <w:tcPr>
        <w:tcBorders>
          <w:top w:val="double" w:sz="4" w:space="0" w:color="4EA72E"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EA72E" w:themeColor="accent6"/>
          <w:right w:val="single" w:sz="4" w:space="0" w:color="4EA72E" w:themeColor="accent6"/>
        </w:tcBorders>
      </w:tcPr>
    </w:tblStylePr>
    <w:tblStylePr w:type="band1Horz">
      <w:tblPr/>
      <w:tcPr>
        <w:tcBorders>
          <w:top w:val="single" w:sz="4" w:space="0" w:color="4EA72E" w:themeColor="accent6"/>
          <w:bottom w:val="single" w:sz="4" w:space="0" w:color="4EA72E"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EA72E" w:themeColor="accent6"/>
          <w:left w:val="nil"/>
        </w:tcBorders>
      </w:tcPr>
    </w:tblStylePr>
    <w:tblStylePr w:type="swCell">
      <w:tblPr/>
      <w:tcPr>
        <w:tcBorders>
          <w:top w:val="double" w:sz="4" w:space="0" w:color="4EA72E" w:themeColor="accent6"/>
          <w:right w:val="nil"/>
        </w:tcBorders>
      </w:tcPr>
    </w:tblStylePr>
  </w:style>
  <w:style w:type="table" w:styleId="Svtlmkatabulky">
    <w:name w:val="Grid Table Light"/>
    <w:basedOn w:val="Normlntabulka"/>
    <w:uiPriority w:val="40"/>
    <w:rsid w:val="006933D2"/>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4">
    <w:name w:val="p4"/>
    <w:basedOn w:val="Normln"/>
    <w:rsid w:val="00865D70"/>
    <w:pPr>
      <w:spacing w:before="100" w:beforeAutospacing="1" w:after="100" w:afterAutospacing="1" w:line="240" w:lineRule="auto"/>
    </w:pPr>
    <w:rPr>
      <w:rFonts w:ascii="Times New Roman" w:eastAsia="Times New Roman" w:hAnsi="Times New Roman" w:cs="Times New Roman"/>
      <w:kern w:val="0"/>
      <w:sz w:val="24"/>
      <w:szCs w:val="24"/>
      <w:lang w:eastAsia="cs-CZ"/>
      <w14:ligatures w14:val="none"/>
    </w:rPr>
  </w:style>
  <w:style w:type="character" w:customStyle="1" w:styleId="s3">
    <w:name w:val="s3"/>
    <w:basedOn w:val="Standardnpsmoodstavce"/>
    <w:rsid w:val="00865D70"/>
  </w:style>
  <w:style w:type="paragraph" w:styleId="Normlnweb">
    <w:name w:val="Normal (Web)"/>
    <w:basedOn w:val="Normln"/>
    <w:uiPriority w:val="99"/>
    <w:semiHidden/>
    <w:unhideWhenUsed/>
    <w:rsid w:val="00EB0C24"/>
    <w:pPr>
      <w:spacing w:before="100" w:beforeAutospacing="1" w:after="100" w:afterAutospacing="1" w:line="240" w:lineRule="auto"/>
    </w:pPr>
    <w:rPr>
      <w:rFonts w:ascii="Times New Roman" w:eastAsia="Times New Roman" w:hAnsi="Times New Roman" w:cs="Times New Roman"/>
      <w:kern w:val="0"/>
      <w:sz w:val="24"/>
      <w:szCs w:val="24"/>
      <w:lang w:eastAsia="cs-CZ"/>
      <w14:ligatures w14:val="none"/>
    </w:rPr>
  </w:style>
  <w:style w:type="character" w:styleId="Siln">
    <w:name w:val="Strong"/>
    <w:basedOn w:val="Standardnpsmoodstavce"/>
    <w:uiPriority w:val="22"/>
    <w:qFormat/>
    <w:rsid w:val="00EB0C24"/>
    <w:rPr>
      <w:b/>
      <w:bCs/>
    </w:rPr>
  </w:style>
  <w:style w:type="character" w:customStyle="1" w:styleId="apple-converted-space">
    <w:name w:val="apple-converted-space"/>
    <w:basedOn w:val="Standardnpsmoodstavce"/>
    <w:rsid w:val="00EB0C24"/>
  </w:style>
  <w:style w:type="character" w:styleId="Zdraznn">
    <w:name w:val="Emphasis"/>
    <w:basedOn w:val="Standardnpsmoodstavce"/>
    <w:uiPriority w:val="20"/>
    <w:qFormat/>
    <w:rsid w:val="00EB0C24"/>
    <w:rPr>
      <w:i/>
      <w:iCs/>
    </w:rPr>
  </w:style>
  <w:style w:type="paragraph" w:styleId="Rejstk1">
    <w:name w:val="index 1"/>
    <w:basedOn w:val="Normln"/>
    <w:next w:val="Normln"/>
    <w:autoRedefine/>
    <w:uiPriority w:val="99"/>
    <w:unhideWhenUsed/>
    <w:rsid w:val="00E44689"/>
    <w:pPr>
      <w:spacing w:after="0"/>
      <w:ind w:left="220" w:hanging="220"/>
    </w:pPr>
    <w:rPr>
      <w:sz w:val="18"/>
      <w:szCs w:val="18"/>
    </w:rPr>
  </w:style>
  <w:style w:type="paragraph" w:styleId="Rejstk2">
    <w:name w:val="index 2"/>
    <w:basedOn w:val="Normln"/>
    <w:next w:val="Normln"/>
    <w:autoRedefine/>
    <w:uiPriority w:val="99"/>
    <w:unhideWhenUsed/>
    <w:rsid w:val="00E44689"/>
    <w:pPr>
      <w:spacing w:after="0"/>
      <w:ind w:left="440" w:hanging="220"/>
    </w:pPr>
    <w:rPr>
      <w:sz w:val="18"/>
      <w:szCs w:val="18"/>
    </w:rPr>
  </w:style>
  <w:style w:type="paragraph" w:styleId="Rejstk3">
    <w:name w:val="index 3"/>
    <w:basedOn w:val="Normln"/>
    <w:next w:val="Normln"/>
    <w:autoRedefine/>
    <w:uiPriority w:val="99"/>
    <w:unhideWhenUsed/>
    <w:rsid w:val="00E44689"/>
    <w:pPr>
      <w:spacing w:after="0"/>
      <w:ind w:left="660" w:hanging="220"/>
    </w:pPr>
    <w:rPr>
      <w:sz w:val="18"/>
      <w:szCs w:val="18"/>
    </w:rPr>
  </w:style>
  <w:style w:type="paragraph" w:styleId="Rejstk4">
    <w:name w:val="index 4"/>
    <w:basedOn w:val="Normln"/>
    <w:next w:val="Normln"/>
    <w:autoRedefine/>
    <w:uiPriority w:val="99"/>
    <w:unhideWhenUsed/>
    <w:rsid w:val="00E44689"/>
    <w:pPr>
      <w:spacing w:after="0"/>
      <w:ind w:left="880" w:hanging="220"/>
    </w:pPr>
    <w:rPr>
      <w:sz w:val="18"/>
      <w:szCs w:val="18"/>
    </w:rPr>
  </w:style>
  <w:style w:type="paragraph" w:styleId="Rejstk5">
    <w:name w:val="index 5"/>
    <w:basedOn w:val="Normln"/>
    <w:next w:val="Normln"/>
    <w:autoRedefine/>
    <w:uiPriority w:val="99"/>
    <w:unhideWhenUsed/>
    <w:rsid w:val="00E44689"/>
    <w:pPr>
      <w:spacing w:after="0"/>
      <w:ind w:left="1100" w:hanging="220"/>
    </w:pPr>
    <w:rPr>
      <w:sz w:val="18"/>
      <w:szCs w:val="18"/>
    </w:rPr>
  </w:style>
  <w:style w:type="paragraph" w:styleId="Rejstk6">
    <w:name w:val="index 6"/>
    <w:basedOn w:val="Normln"/>
    <w:next w:val="Normln"/>
    <w:autoRedefine/>
    <w:uiPriority w:val="99"/>
    <w:unhideWhenUsed/>
    <w:rsid w:val="00E44689"/>
    <w:pPr>
      <w:spacing w:after="0"/>
      <w:ind w:left="1320" w:hanging="220"/>
    </w:pPr>
    <w:rPr>
      <w:sz w:val="18"/>
      <w:szCs w:val="18"/>
    </w:rPr>
  </w:style>
  <w:style w:type="paragraph" w:styleId="Rejstk7">
    <w:name w:val="index 7"/>
    <w:basedOn w:val="Normln"/>
    <w:next w:val="Normln"/>
    <w:autoRedefine/>
    <w:uiPriority w:val="99"/>
    <w:unhideWhenUsed/>
    <w:rsid w:val="00E44689"/>
    <w:pPr>
      <w:spacing w:after="0"/>
      <w:ind w:left="1540" w:hanging="220"/>
    </w:pPr>
    <w:rPr>
      <w:sz w:val="18"/>
      <w:szCs w:val="18"/>
    </w:rPr>
  </w:style>
  <w:style w:type="paragraph" w:styleId="Rejstk8">
    <w:name w:val="index 8"/>
    <w:basedOn w:val="Normln"/>
    <w:next w:val="Normln"/>
    <w:autoRedefine/>
    <w:uiPriority w:val="99"/>
    <w:unhideWhenUsed/>
    <w:rsid w:val="00E44689"/>
    <w:pPr>
      <w:spacing w:after="0"/>
      <w:ind w:left="1760" w:hanging="220"/>
    </w:pPr>
    <w:rPr>
      <w:sz w:val="18"/>
      <w:szCs w:val="18"/>
    </w:rPr>
  </w:style>
  <w:style w:type="paragraph" w:styleId="Rejstk9">
    <w:name w:val="index 9"/>
    <w:basedOn w:val="Normln"/>
    <w:next w:val="Normln"/>
    <w:autoRedefine/>
    <w:uiPriority w:val="99"/>
    <w:unhideWhenUsed/>
    <w:rsid w:val="00E44689"/>
    <w:pPr>
      <w:spacing w:after="0"/>
      <w:ind w:left="1980" w:hanging="220"/>
    </w:pPr>
    <w:rPr>
      <w:sz w:val="18"/>
      <w:szCs w:val="18"/>
    </w:rPr>
  </w:style>
  <w:style w:type="paragraph" w:styleId="Hlavikarejstku">
    <w:name w:val="index heading"/>
    <w:basedOn w:val="Normln"/>
    <w:next w:val="Rejstk1"/>
    <w:uiPriority w:val="99"/>
    <w:unhideWhenUsed/>
    <w:rsid w:val="00E44689"/>
    <w:pPr>
      <w:spacing w:before="240" w:after="120"/>
      <w:jc w:val="center"/>
    </w:pPr>
    <w:rPr>
      <w:b/>
      <w:bCs/>
      <w:sz w:val="26"/>
      <w:szCs w:val="26"/>
    </w:rPr>
  </w:style>
  <w:style w:type="paragraph" w:styleId="Obsah1">
    <w:name w:val="toc 1"/>
    <w:basedOn w:val="Normln"/>
    <w:next w:val="Normln"/>
    <w:autoRedefine/>
    <w:uiPriority w:val="39"/>
    <w:unhideWhenUsed/>
    <w:rsid w:val="00C315C9"/>
    <w:pPr>
      <w:tabs>
        <w:tab w:val="right" w:pos="9062"/>
      </w:tabs>
      <w:spacing w:before="360" w:after="0"/>
    </w:pPr>
    <w:rPr>
      <w:rFonts w:asciiTheme="majorHAnsi" w:hAnsiTheme="majorHAnsi"/>
      <w:caps/>
      <w:noProof/>
      <w:sz w:val="24"/>
      <w:szCs w:val="24"/>
    </w:rPr>
  </w:style>
  <w:style w:type="paragraph" w:styleId="Obsah2">
    <w:name w:val="toc 2"/>
    <w:basedOn w:val="Normln"/>
    <w:next w:val="Normln"/>
    <w:autoRedefine/>
    <w:uiPriority w:val="39"/>
    <w:unhideWhenUsed/>
    <w:rsid w:val="00E44689"/>
    <w:pPr>
      <w:spacing w:before="240" w:after="0"/>
    </w:pPr>
    <w:rPr>
      <w:b/>
      <w:bCs/>
      <w:sz w:val="20"/>
      <w:szCs w:val="20"/>
    </w:rPr>
  </w:style>
  <w:style w:type="paragraph" w:styleId="Obsah3">
    <w:name w:val="toc 3"/>
    <w:basedOn w:val="Normln"/>
    <w:next w:val="Normln"/>
    <w:autoRedefine/>
    <w:uiPriority w:val="39"/>
    <w:unhideWhenUsed/>
    <w:rsid w:val="00E44689"/>
    <w:pPr>
      <w:spacing w:after="0"/>
      <w:ind w:left="220"/>
    </w:pPr>
    <w:rPr>
      <w:sz w:val="20"/>
      <w:szCs w:val="20"/>
    </w:rPr>
  </w:style>
  <w:style w:type="paragraph" w:styleId="Obsah4">
    <w:name w:val="toc 4"/>
    <w:basedOn w:val="Normln"/>
    <w:next w:val="Normln"/>
    <w:autoRedefine/>
    <w:uiPriority w:val="39"/>
    <w:unhideWhenUsed/>
    <w:rsid w:val="00E44689"/>
    <w:pPr>
      <w:spacing w:after="0"/>
      <w:ind w:left="440"/>
    </w:pPr>
    <w:rPr>
      <w:sz w:val="20"/>
      <w:szCs w:val="20"/>
    </w:rPr>
  </w:style>
  <w:style w:type="paragraph" w:styleId="Obsah5">
    <w:name w:val="toc 5"/>
    <w:basedOn w:val="Normln"/>
    <w:next w:val="Normln"/>
    <w:autoRedefine/>
    <w:uiPriority w:val="39"/>
    <w:unhideWhenUsed/>
    <w:rsid w:val="00E44689"/>
    <w:pPr>
      <w:spacing w:after="0"/>
      <w:ind w:left="660"/>
    </w:pPr>
    <w:rPr>
      <w:sz w:val="20"/>
      <w:szCs w:val="20"/>
    </w:rPr>
  </w:style>
  <w:style w:type="paragraph" w:styleId="Obsah6">
    <w:name w:val="toc 6"/>
    <w:basedOn w:val="Normln"/>
    <w:next w:val="Normln"/>
    <w:autoRedefine/>
    <w:uiPriority w:val="39"/>
    <w:unhideWhenUsed/>
    <w:rsid w:val="00E44689"/>
    <w:pPr>
      <w:spacing w:after="0"/>
      <w:ind w:left="880"/>
    </w:pPr>
    <w:rPr>
      <w:sz w:val="20"/>
      <w:szCs w:val="20"/>
    </w:rPr>
  </w:style>
  <w:style w:type="paragraph" w:styleId="Obsah7">
    <w:name w:val="toc 7"/>
    <w:basedOn w:val="Normln"/>
    <w:next w:val="Normln"/>
    <w:autoRedefine/>
    <w:uiPriority w:val="39"/>
    <w:unhideWhenUsed/>
    <w:rsid w:val="00E44689"/>
    <w:pPr>
      <w:spacing w:after="0"/>
      <w:ind w:left="1100"/>
    </w:pPr>
    <w:rPr>
      <w:sz w:val="20"/>
      <w:szCs w:val="20"/>
    </w:rPr>
  </w:style>
  <w:style w:type="paragraph" w:styleId="Obsah8">
    <w:name w:val="toc 8"/>
    <w:basedOn w:val="Normln"/>
    <w:next w:val="Normln"/>
    <w:autoRedefine/>
    <w:uiPriority w:val="39"/>
    <w:unhideWhenUsed/>
    <w:rsid w:val="00E44689"/>
    <w:pPr>
      <w:spacing w:after="0"/>
      <w:ind w:left="1320"/>
    </w:pPr>
    <w:rPr>
      <w:sz w:val="20"/>
      <w:szCs w:val="20"/>
    </w:rPr>
  </w:style>
  <w:style w:type="paragraph" w:styleId="Obsah9">
    <w:name w:val="toc 9"/>
    <w:basedOn w:val="Normln"/>
    <w:next w:val="Normln"/>
    <w:autoRedefine/>
    <w:uiPriority w:val="39"/>
    <w:unhideWhenUsed/>
    <w:rsid w:val="00E44689"/>
    <w:pPr>
      <w:spacing w:after="0"/>
      <w:ind w:left="1540"/>
    </w:pPr>
    <w:rPr>
      <w:sz w:val="20"/>
      <w:szCs w:val="20"/>
    </w:rPr>
  </w:style>
  <w:style w:type="character" w:styleId="Hypertextovodkaz">
    <w:name w:val="Hyperlink"/>
    <w:basedOn w:val="Standardnpsmoodstavce"/>
    <w:uiPriority w:val="99"/>
    <w:unhideWhenUsed/>
    <w:rsid w:val="00E44689"/>
    <w:rPr>
      <w:color w:val="467886" w:themeColor="hyperlink"/>
      <w:u w:val="single"/>
    </w:rPr>
  </w:style>
  <w:style w:type="paragraph" w:styleId="Zhlav">
    <w:name w:val="header"/>
    <w:basedOn w:val="Normln"/>
    <w:link w:val="ZhlavChar"/>
    <w:uiPriority w:val="99"/>
    <w:unhideWhenUsed/>
    <w:rsid w:val="00C315C9"/>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C315C9"/>
  </w:style>
  <w:style w:type="paragraph" w:styleId="Zpat">
    <w:name w:val="footer"/>
    <w:basedOn w:val="Normln"/>
    <w:link w:val="ZpatChar"/>
    <w:uiPriority w:val="99"/>
    <w:unhideWhenUsed/>
    <w:rsid w:val="00C315C9"/>
    <w:pPr>
      <w:tabs>
        <w:tab w:val="center" w:pos="4536"/>
        <w:tab w:val="right" w:pos="9072"/>
      </w:tabs>
      <w:spacing w:after="0" w:line="240" w:lineRule="auto"/>
    </w:pPr>
  </w:style>
  <w:style w:type="character" w:customStyle="1" w:styleId="ZpatChar">
    <w:name w:val="Zápatí Char"/>
    <w:basedOn w:val="Standardnpsmoodstavce"/>
    <w:link w:val="Zpat"/>
    <w:uiPriority w:val="99"/>
    <w:rsid w:val="00C315C9"/>
  </w:style>
  <w:style w:type="character" w:styleId="slostrnky">
    <w:name w:val="page number"/>
    <w:basedOn w:val="Standardnpsmoodstavce"/>
    <w:uiPriority w:val="99"/>
    <w:semiHidden/>
    <w:unhideWhenUsed/>
    <w:rsid w:val="00C315C9"/>
  </w:style>
  <w:style w:type="table" w:styleId="Mkatabulky">
    <w:name w:val="Table Grid"/>
    <w:basedOn w:val="Normlntabulka"/>
    <w:uiPriority w:val="59"/>
    <w:rsid w:val="00230D8A"/>
    <w:pPr>
      <w:spacing w:after="0" w:line="240" w:lineRule="auto"/>
    </w:pPr>
    <w:rPr>
      <w:kern w:val="0"/>
      <w:lang w:val="hu-H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4331">
      <w:bodyDiv w:val="1"/>
      <w:marLeft w:val="0"/>
      <w:marRight w:val="0"/>
      <w:marTop w:val="0"/>
      <w:marBottom w:val="0"/>
      <w:divBdr>
        <w:top w:val="none" w:sz="0" w:space="0" w:color="auto"/>
        <w:left w:val="none" w:sz="0" w:space="0" w:color="auto"/>
        <w:bottom w:val="none" w:sz="0" w:space="0" w:color="auto"/>
        <w:right w:val="none" w:sz="0" w:space="0" w:color="auto"/>
      </w:divBdr>
    </w:div>
    <w:div w:id="84961676">
      <w:bodyDiv w:val="1"/>
      <w:marLeft w:val="0"/>
      <w:marRight w:val="0"/>
      <w:marTop w:val="0"/>
      <w:marBottom w:val="0"/>
      <w:divBdr>
        <w:top w:val="none" w:sz="0" w:space="0" w:color="auto"/>
        <w:left w:val="none" w:sz="0" w:space="0" w:color="auto"/>
        <w:bottom w:val="none" w:sz="0" w:space="0" w:color="auto"/>
        <w:right w:val="none" w:sz="0" w:space="0" w:color="auto"/>
      </w:divBdr>
    </w:div>
    <w:div w:id="202061120">
      <w:bodyDiv w:val="1"/>
      <w:marLeft w:val="0"/>
      <w:marRight w:val="0"/>
      <w:marTop w:val="0"/>
      <w:marBottom w:val="0"/>
      <w:divBdr>
        <w:top w:val="none" w:sz="0" w:space="0" w:color="auto"/>
        <w:left w:val="none" w:sz="0" w:space="0" w:color="auto"/>
        <w:bottom w:val="none" w:sz="0" w:space="0" w:color="auto"/>
        <w:right w:val="none" w:sz="0" w:space="0" w:color="auto"/>
      </w:divBdr>
    </w:div>
    <w:div w:id="703944720">
      <w:bodyDiv w:val="1"/>
      <w:marLeft w:val="0"/>
      <w:marRight w:val="0"/>
      <w:marTop w:val="0"/>
      <w:marBottom w:val="0"/>
      <w:divBdr>
        <w:top w:val="none" w:sz="0" w:space="0" w:color="auto"/>
        <w:left w:val="none" w:sz="0" w:space="0" w:color="auto"/>
        <w:bottom w:val="none" w:sz="0" w:space="0" w:color="auto"/>
        <w:right w:val="none" w:sz="0" w:space="0" w:color="auto"/>
      </w:divBdr>
    </w:div>
    <w:div w:id="802188590">
      <w:bodyDiv w:val="1"/>
      <w:marLeft w:val="0"/>
      <w:marRight w:val="0"/>
      <w:marTop w:val="0"/>
      <w:marBottom w:val="0"/>
      <w:divBdr>
        <w:top w:val="none" w:sz="0" w:space="0" w:color="auto"/>
        <w:left w:val="none" w:sz="0" w:space="0" w:color="auto"/>
        <w:bottom w:val="none" w:sz="0" w:space="0" w:color="auto"/>
        <w:right w:val="none" w:sz="0" w:space="0" w:color="auto"/>
      </w:divBdr>
    </w:div>
    <w:div w:id="815535598">
      <w:bodyDiv w:val="1"/>
      <w:marLeft w:val="0"/>
      <w:marRight w:val="0"/>
      <w:marTop w:val="0"/>
      <w:marBottom w:val="0"/>
      <w:divBdr>
        <w:top w:val="none" w:sz="0" w:space="0" w:color="auto"/>
        <w:left w:val="none" w:sz="0" w:space="0" w:color="auto"/>
        <w:bottom w:val="none" w:sz="0" w:space="0" w:color="auto"/>
        <w:right w:val="none" w:sz="0" w:space="0" w:color="auto"/>
      </w:divBdr>
    </w:div>
    <w:div w:id="816725876">
      <w:bodyDiv w:val="1"/>
      <w:marLeft w:val="0"/>
      <w:marRight w:val="0"/>
      <w:marTop w:val="0"/>
      <w:marBottom w:val="0"/>
      <w:divBdr>
        <w:top w:val="none" w:sz="0" w:space="0" w:color="auto"/>
        <w:left w:val="none" w:sz="0" w:space="0" w:color="auto"/>
        <w:bottom w:val="none" w:sz="0" w:space="0" w:color="auto"/>
        <w:right w:val="none" w:sz="0" w:space="0" w:color="auto"/>
      </w:divBdr>
    </w:div>
    <w:div w:id="932593429">
      <w:bodyDiv w:val="1"/>
      <w:marLeft w:val="0"/>
      <w:marRight w:val="0"/>
      <w:marTop w:val="0"/>
      <w:marBottom w:val="0"/>
      <w:divBdr>
        <w:top w:val="none" w:sz="0" w:space="0" w:color="auto"/>
        <w:left w:val="none" w:sz="0" w:space="0" w:color="auto"/>
        <w:bottom w:val="none" w:sz="0" w:space="0" w:color="auto"/>
        <w:right w:val="none" w:sz="0" w:space="0" w:color="auto"/>
      </w:divBdr>
    </w:div>
    <w:div w:id="974531658">
      <w:bodyDiv w:val="1"/>
      <w:marLeft w:val="0"/>
      <w:marRight w:val="0"/>
      <w:marTop w:val="0"/>
      <w:marBottom w:val="0"/>
      <w:divBdr>
        <w:top w:val="none" w:sz="0" w:space="0" w:color="auto"/>
        <w:left w:val="none" w:sz="0" w:space="0" w:color="auto"/>
        <w:bottom w:val="none" w:sz="0" w:space="0" w:color="auto"/>
        <w:right w:val="none" w:sz="0" w:space="0" w:color="auto"/>
      </w:divBdr>
    </w:div>
    <w:div w:id="975915569">
      <w:bodyDiv w:val="1"/>
      <w:marLeft w:val="0"/>
      <w:marRight w:val="0"/>
      <w:marTop w:val="0"/>
      <w:marBottom w:val="0"/>
      <w:divBdr>
        <w:top w:val="none" w:sz="0" w:space="0" w:color="auto"/>
        <w:left w:val="none" w:sz="0" w:space="0" w:color="auto"/>
        <w:bottom w:val="none" w:sz="0" w:space="0" w:color="auto"/>
        <w:right w:val="none" w:sz="0" w:space="0" w:color="auto"/>
      </w:divBdr>
    </w:div>
    <w:div w:id="1063259230">
      <w:bodyDiv w:val="1"/>
      <w:marLeft w:val="0"/>
      <w:marRight w:val="0"/>
      <w:marTop w:val="0"/>
      <w:marBottom w:val="0"/>
      <w:divBdr>
        <w:top w:val="none" w:sz="0" w:space="0" w:color="auto"/>
        <w:left w:val="none" w:sz="0" w:space="0" w:color="auto"/>
        <w:bottom w:val="none" w:sz="0" w:space="0" w:color="auto"/>
        <w:right w:val="none" w:sz="0" w:space="0" w:color="auto"/>
      </w:divBdr>
    </w:div>
    <w:div w:id="1152719055">
      <w:bodyDiv w:val="1"/>
      <w:marLeft w:val="0"/>
      <w:marRight w:val="0"/>
      <w:marTop w:val="0"/>
      <w:marBottom w:val="0"/>
      <w:divBdr>
        <w:top w:val="none" w:sz="0" w:space="0" w:color="auto"/>
        <w:left w:val="none" w:sz="0" w:space="0" w:color="auto"/>
        <w:bottom w:val="none" w:sz="0" w:space="0" w:color="auto"/>
        <w:right w:val="none" w:sz="0" w:space="0" w:color="auto"/>
      </w:divBdr>
    </w:div>
    <w:div w:id="1447575179">
      <w:bodyDiv w:val="1"/>
      <w:marLeft w:val="0"/>
      <w:marRight w:val="0"/>
      <w:marTop w:val="0"/>
      <w:marBottom w:val="0"/>
      <w:divBdr>
        <w:top w:val="none" w:sz="0" w:space="0" w:color="auto"/>
        <w:left w:val="none" w:sz="0" w:space="0" w:color="auto"/>
        <w:bottom w:val="none" w:sz="0" w:space="0" w:color="auto"/>
        <w:right w:val="none" w:sz="0" w:space="0" w:color="auto"/>
      </w:divBdr>
    </w:div>
    <w:div w:id="1562672951">
      <w:bodyDiv w:val="1"/>
      <w:marLeft w:val="0"/>
      <w:marRight w:val="0"/>
      <w:marTop w:val="0"/>
      <w:marBottom w:val="0"/>
      <w:divBdr>
        <w:top w:val="none" w:sz="0" w:space="0" w:color="auto"/>
        <w:left w:val="none" w:sz="0" w:space="0" w:color="auto"/>
        <w:bottom w:val="none" w:sz="0" w:space="0" w:color="auto"/>
        <w:right w:val="none" w:sz="0" w:space="0" w:color="auto"/>
      </w:divBdr>
    </w:div>
    <w:div w:id="1977837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769</Words>
  <Characters>4643</Characters>
  <Application>Microsoft Office Word</Application>
  <DocSecurity>0</DocSecurity>
  <Lines>65</Lines>
  <Paragraphs>11</Paragraphs>
  <ScaleCrop>false</ScaleCrop>
  <HeadingPairs>
    <vt:vector size="2" baseType="variant">
      <vt:variant>
        <vt:lpstr>Název</vt:lpstr>
      </vt:variant>
      <vt:variant>
        <vt:i4>1</vt:i4>
      </vt:variant>
    </vt:vector>
  </HeadingPairs>
  <TitlesOfParts>
    <vt:vector size="1" baseType="lpstr">
      <vt:lpstr/>
    </vt:vector>
  </TitlesOfParts>
  <Manager/>
  <Company/>
  <LinksUpToDate>false</LinksUpToDate>
  <CharactersWithSpaces>5401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Adéla Pixová</dc:creator>
  <cp:keywords/>
  <dc:description/>
  <cp:lastModifiedBy>Jan Jareš</cp:lastModifiedBy>
  <cp:revision>3</cp:revision>
  <cp:lastPrinted>2026-06-15T14:03:00Z</cp:lastPrinted>
  <dcterms:created xsi:type="dcterms:W3CDTF">2026-06-15T14:03:00Z</dcterms:created>
  <dcterms:modified xsi:type="dcterms:W3CDTF">2026-06-15T14:15:00Z</dcterms:modified>
  <cp:category/>
</cp:coreProperties>
</file>